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85F1" w14:textId="77777777" w:rsidR="00F32E4A" w:rsidRPr="00F32E4A" w:rsidRDefault="00F32E4A" w:rsidP="00F32E4A">
      <w:pPr>
        <w:tabs>
          <w:tab w:val="left" w:pos="3980"/>
        </w:tabs>
        <w:spacing w:after="0"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Appendix 2 to </w:t>
      </w:r>
    </w:p>
    <w:p w14:paraId="337025A0" w14:textId="77777777" w:rsidR="00F32E4A" w:rsidRPr="00F32E4A" w:rsidRDefault="00F32E4A" w:rsidP="00F32E4A">
      <w:pPr>
        <w:spacing w:after="0"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Annex H to </w:t>
      </w:r>
    </w:p>
    <w:p w14:paraId="70603201" w14:textId="77777777" w:rsidR="00F32E4A" w:rsidRPr="00F32E4A" w:rsidRDefault="00F32E4A" w:rsidP="00F32E4A">
      <w:pPr>
        <w:spacing w:after="0"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BAMA </w:t>
      </w:r>
      <w:r w:rsidRPr="00F32E4A">
        <w:rPr>
          <w:rFonts w:ascii="Arial" w:eastAsia="Arial" w:hAnsi="Arial" w:cs="Arial"/>
          <w:b/>
          <w:color w:val="000000"/>
          <w:kern w:val="0"/>
          <w:sz w:val="24"/>
          <w:lang w:eastAsia="en-GB"/>
          <w14:ligatures w14:val="none"/>
        </w:rPr>
        <w:t>Rules and Regulations</w:t>
      </w:r>
    </w:p>
    <w:p w14:paraId="356B4A1F" w14:textId="77777777" w:rsidR="00F32E4A" w:rsidRPr="00F32E4A" w:rsidRDefault="00F32E4A" w:rsidP="00F32E4A">
      <w:pPr>
        <w:spacing w:after="0" w:line="240" w:lineRule="auto"/>
        <w:ind w:left="10" w:right="348"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Dated Jan 25</w:t>
      </w:r>
    </w:p>
    <w:p w14:paraId="7007678B" w14:textId="77777777" w:rsidR="00F32E4A" w:rsidRPr="00F32E4A" w:rsidRDefault="00F32E4A" w:rsidP="00F32E4A">
      <w:pPr>
        <w:spacing w:before="100" w:beforeAutospacing="1" w:after="100" w:afterAutospacing="1" w:line="240" w:lineRule="auto"/>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INCIDENT MANAGEMENT AND REPORTING INSTRUCTION</w:t>
      </w:r>
    </w:p>
    <w:p w14:paraId="671C28FE" w14:textId="77777777" w:rsidR="00F32E4A" w:rsidRPr="00F32E4A" w:rsidRDefault="00F32E4A" w:rsidP="00F32E4A">
      <w:pPr>
        <w:spacing w:before="100" w:beforeAutospacing="1" w:after="100" w:afterAutospacing="1" w:line="240" w:lineRule="auto"/>
        <w:ind w:left="11" w:hanging="11"/>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References: </w:t>
      </w:r>
    </w:p>
    <w:p w14:paraId="3E5D8EE3" w14:textId="77777777" w:rsidR="00F32E4A" w:rsidRPr="00F32E4A" w:rsidRDefault="00F32E4A" w:rsidP="00F32E4A">
      <w:pPr>
        <w:numPr>
          <w:ilvl w:val="0"/>
          <w:numId w:val="1"/>
        </w:numPr>
        <w:spacing w:before="100" w:beforeAutospacing="1" w:after="100" w:afterAutospacing="1" w:line="240" w:lineRule="auto"/>
        <w:contextualSpacing/>
        <w:rPr>
          <w:rFonts w:ascii="Arial" w:eastAsia="Arial" w:hAnsi="Arial" w:cs="Arial"/>
          <w:color w:val="000000" w:themeColor="text1"/>
          <w:kern w:val="0"/>
          <w:sz w:val="24"/>
          <w:szCs w:val="24"/>
          <w:lang w:eastAsia="en-GB"/>
          <w14:ligatures w14:val="none"/>
        </w:rPr>
      </w:pPr>
      <w:hyperlink r:id="rId5">
        <w:proofErr w:type="spellStart"/>
        <w:r w:rsidRPr="00F32E4A">
          <w:rPr>
            <w:rFonts w:ascii="Arial" w:eastAsia="Arial" w:hAnsi="Arial" w:cs="Arial"/>
            <w:color w:val="0563C1"/>
            <w:kern w:val="0"/>
            <w:sz w:val="24"/>
            <w:szCs w:val="24"/>
            <w:u w:val="single"/>
            <w:lang w:eastAsia="en-GB"/>
            <w14:ligatures w14:val="none"/>
          </w:rPr>
          <w:t>JSP</w:t>
        </w:r>
        <w:proofErr w:type="spellEnd"/>
        <w:r w:rsidRPr="00F32E4A">
          <w:rPr>
            <w:rFonts w:ascii="Arial" w:eastAsia="Arial" w:hAnsi="Arial" w:cs="Arial"/>
            <w:color w:val="0563C1"/>
            <w:kern w:val="0"/>
            <w:sz w:val="24"/>
            <w:szCs w:val="24"/>
            <w:u w:val="single"/>
            <w:lang w:eastAsia="en-GB"/>
            <w14:ligatures w14:val="none"/>
          </w:rPr>
          <w:t xml:space="preserve"> 751 Joint Casualty and Compassionate Policy and Procedures</w:t>
        </w:r>
      </w:hyperlink>
      <w:r w:rsidRPr="00F32E4A">
        <w:rPr>
          <w:rFonts w:ascii="Arial" w:eastAsia="Arial" w:hAnsi="Arial" w:cs="Arial"/>
          <w:color w:val="000000" w:themeColor="text1"/>
          <w:kern w:val="0"/>
          <w:sz w:val="24"/>
          <w:szCs w:val="24"/>
          <w:lang w:eastAsia="en-GB"/>
          <w14:ligatures w14:val="none"/>
        </w:rPr>
        <w:t xml:space="preserve"> </w:t>
      </w:r>
    </w:p>
    <w:p w14:paraId="263F628C" w14:textId="77777777" w:rsidR="00F32E4A" w:rsidRPr="00F32E4A" w:rsidRDefault="00F32E4A" w:rsidP="00F32E4A">
      <w:pPr>
        <w:numPr>
          <w:ilvl w:val="0"/>
          <w:numId w:val="1"/>
        </w:numPr>
        <w:spacing w:after="0" w:line="240" w:lineRule="auto"/>
        <w:contextualSpacing/>
        <w:rPr>
          <w:rFonts w:ascii="Arial" w:eastAsia="Arial" w:hAnsi="Arial" w:cs="Arial"/>
          <w:color w:val="0563C1"/>
          <w:kern w:val="0"/>
          <w:sz w:val="24"/>
          <w:szCs w:val="24"/>
          <w:u w:val="single"/>
          <w:lang w:eastAsia="en-GB"/>
          <w14:ligatures w14:val="none"/>
        </w:rPr>
      </w:pPr>
      <w:hyperlink r:id="rId6">
        <w:proofErr w:type="spellStart"/>
        <w:r w:rsidRPr="00F32E4A">
          <w:rPr>
            <w:rFonts w:ascii="Arial" w:eastAsia="Arial" w:hAnsi="Arial" w:cs="Arial"/>
            <w:color w:val="0563C1"/>
            <w:kern w:val="0"/>
            <w:sz w:val="24"/>
            <w:szCs w:val="24"/>
            <w:u w:val="single"/>
            <w:lang w:eastAsia="en-GB"/>
            <w14:ligatures w14:val="none"/>
          </w:rPr>
          <w:t>2024DIN06</w:t>
        </w:r>
        <w:proofErr w:type="spellEnd"/>
        <w:r w:rsidRPr="00F32E4A">
          <w:rPr>
            <w:rFonts w:ascii="Arial" w:eastAsia="Arial" w:hAnsi="Arial" w:cs="Arial"/>
            <w:color w:val="0563C1"/>
            <w:kern w:val="0"/>
            <w:sz w:val="24"/>
            <w:szCs w:val="24"/>
            <w:u w:val="single"/>
            <w:lang w:eastAsia="en-GB"/>
            <w14:ligatures w14:val="none"/>
          </w:rPr>
          <w:t>-027-Annual Defence Road Safety Awards</w:t>
        </w:r>
      </w:hyperlink>
    </w:p>
    <w:p w14:paraId="68B464A8" w14:textId="77777777" w:rsidR="00F32E4A" w:rsidRPr="00F32E4A" w:rsidRDefault="00F32E4A" w:rsidP="00F32E4A">
      <w:pPr>
        <w:numPr>
          <w:ilvl w:val="0"/>
          <w:numId w:val="1"/>
        </w:numPr>
        <w:spacing w:after="0" w:line="240" w:lineRule="auto"/>
        <w:contextualSpacing/>
        <w:rPr>
          <w:rFonts w:ascii="Arial" w:eastAsia="Arial" w:hAnsi="Arial" w:cs="Arial"/>
          <w:color w:val="0563C1"/>
          <w:kern w:val="0"/>
          <w:sz w:val="24"/>
          <w:szCs w:val="24"/>
          <w:u w:val="single"/>
          <w:lang w:eastAsia="en-GB"/>
          <w14:ligatures w14:val="none"/>
        </w:rPr>
      </w:pPr>
      <w:hyperlink r:id="rId7">
        <w:proofErr w:type="spellStart"/>
        <w:r w:rsidRPr="00F32E4A">
          <w:rPr>
            <w:rFonts w:ascii="Arial" w:eastAsia="Arial" w:hAnsi="Arial" w:cs="Arial"/>
            <w:color w:val="0563C1"/>
            <w:kern w:val="0"/>
            <w:sz w:val="24"/>
            <w:szCs w:val="24"/>
            <w:u w:val="single"/>
            <w:lang w:eastAsia="en-GB"/>
            <w14:ligatures w14:val="none"/>
          </w:rPr>
          <w:t>2024DIN06</w:t>
        </w:r>
        <w:proofErr w:type="spellEnd"/>
        <w:r w:rsidRPr="00F32E4A">
          <w:rPr>
            <w:rFonts w:ascii="Arial" w:eastAsia="Arial" w:hAnsi="Arial" w:cs="Arial"/>
            <w:color w:val="0563C1"/>
            <w:kern w:val="0"/>
            <w:sz w:val="24"/>
            <w:szCs w:val="24"/>
            <w:u w:val="single"/>
            <w:lang w:eastAsia="en-GB"/>
            <w14:ligatures w14:val="none"/>
          </w:rPr>
          <w:t>-024-The Defence Accident Investigation Branch</w:t>
        </w:r>
      </w:hyperlink>
    </w:p>
    <w:p w14:paraId="6B866C07" w14:textId="77777777" w:rsidR="00F32E4A" w:rsidRPr="00F32E4A" w:rsidRDefault="00F32E4A" w:rsidP="00F32E4A">
      <w:pPr>
        <w:numPr>
          <w:ilvl w:val="0"/>
          <w:numId w:val="1"/>
        </w:numPr>
        <w:spacing w:after="0" w:line="240" w:lineRule="auto"/>
        <w:contextualSpacing/>
        <w:rPr>
          <w:rFonts w:ascii="Arial" w:eastAsia="Arial" w:hAnsi="Arial" w:cs="Arial"/>
          <w:color w:val="000000" w:themeColor="text1"/>
          <w:kern w:val="0"/>
          <w:sz w:val="24"/>
          <w:szCs w:val="24"/>
          <w:lang w:eastAsia="en-GB"/>
          <w14:ligatures w14:val="none"/>
        </w:rPr>
      </w:pPr>
      <w:hyperlink r:id="rId8">
        <w:proofErr w:type="spellStart"/>
        <w:r w:rsidRPr="00F32E4A">
          <w:rPr>
            <w:rFonts w:ascii="Arial" w:eastAsia="Arial" w:hAnsi="Arial" w:cs="Arial"/>
            <w:color w:val="0563C1"/>
            <w:kern w:val="0"/>
            <w:sz w:val="24"/>
            <w:szCs w:val="24"/>
            <w:u w:val="single"/>
            <w:lang w:eastAsia="en-GB"/>
            <w14:ligatures w14:val="none"/>
          </w:rPr>
          <w:t>AGAI</w:t>
        </w:r>
        <w:proofErr w:type="spellEnd"/>
        <w:r w:rsidRPr="00F32E4A">
          <w:rPr>
            <w:rFonts w:ascii="Arial" w:eastAsia="Arial" w:hAnsi="Arial" w:cs="Arial"/>
            <w:color w:val="0563C1"/>
            <w:kern w:val="0"/>
            <w:sz w:val="24"/>
            <w:szCs w:val="24"/>
            <w:u w:val="single"/>
            <w:lang w:eastAsia="en-GB"/>
            <w14:ligatures w14:val="none"/>
          </w:rPr>
          <w:t xml:space="preserve"> Vol 1, Chap 5, Sport</w:t>
        </w:r>
      </w:hyperlink>
      <w:r w:rsidRPr="00F32E4A">
        <w:rPr>
          <w:rFonts w:ascii="Arial" w:eastAsia="Arial" w:hAnsi="Arial" w:cs="Arial"/>
          <w:color w:val="000000" w:themeColor="text1"/>
          <w:kern w:val="0"/>
          <w:sz w:val="24"/>
          <w:szCs w:val="24"/>
          <w:lang w:eastAsia="en-GB"/>
          <w14:ligatures w14:val="none"/>
        </w:rPr>
        <w:t xml:space="preserve"> </w:t>
      </w:r>
    </w:p>
    <w:p w14:paraId="1EEB3112" w14:textId="77777777" w:rsidR="00F32E4A" w:rsidRPr="00F32E4A" w:rsidRDefault="00F32E4A" w:rsidP="00F32E4A">
      <w:pPr>
        <w:numPr>
          <w:ilvl w:val="0"/>
          <w:numId w:val="1"/>
        </w:numPr>
        <w:spacing w:after="0" w:line="240" w:lineRule="auto"/>
        <w:contextualSpacing/>
        <w:rPr>
          <w:rFonts w:ascii="Arial" w:eastAsia="Arial" w:hAnsi="Arial" w:cs="Arial"/>
          <w:color w:val="0563C1"/>
          <w:kern w:val="0"/>
          <w:sz w:val="24"/>
          <w:szCs w:val="24"/>
          <w:u w:val="single"/>
          <w:lang w:eastAsia="en-GB"/>
          <w14:ligatures w14:val="none"/>
        </w:rPr>
      </w:pPr>
      <w:hyperlink r:id="rId9">
        <w:proofErr w:type="spellStart"/>
        <w:r w:rsidRPr="00F32E4A">
          <w:rPr>
            <w:rFonts w:ascii="Arial" w:eastAsia="Arial" w:hAnsi="Arial" w:cs="Arial"/>
            <w:color w:val="0563C1"/>
            <w:kern w:val="0"/>
            <w:sz w:val="24"/>
            <w:u w:val="single"/>
            <w:lang w:eastAsia="en-GB"/>
            <w14:ligatures w14:val="none"/>
          </w:rPr>
          <w:t>MYSAFETY</w:t>
        </w:r>
        <w:proofErr w:type="spellEnd"/>
        <w:r w:rsidRPr="00F32E4A">
          <w:rPr>
            <w:rFonts w:ascii="Arial" w:eastAsia="Arial" w:hAnsi="Arial" w:cs="Arial"/>
            <w:color w:val="0563C1"/>
            <w:kern w:val="0"/>
            <w:sz w:val="24"/>
            <w:u w:val="single"/>
            <w:lang w:eastAsia="en-GB"/>
            <w14:ligatures w14:val="none"/>
          </w:rPr>
          <w:t xml:space="preserve"> User manual, Issue 2</w:t>
        </w:r>
      </w:hyperlink>
    </w:p>
    <w:p w14:paraId="3FC64200" w14:textId="77777777" w:rsidR="00F32E4A" w:rsidRPr="00F32E4A" w:rsidRDefault="00F32E4A" w:rsidP="00F32E4A">
      <w:pPr>
        <w:spacing w:before="100" w:beforeAutospacing="1" w:after="100" w:afterAutospacing="1"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General </w:t>
      </w:r>
    </w:p>
    <w:p w14:paraId="33DED843"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All disciplines within BAMA are to use this instruction to manage, and report, Incidents, involving Service Personnel (SP), which occur during BAMA supported events. Each event will be supported by an Administration Instruction (AI) which will list those classed as ‘on duty’ however this instruction also applies to all SP in attendance.</w:t>
      </w:r>
    </w:p>
    <w:p w14:paraId="071B4927" w14:textId="77777777" w:rsidR="00F32E4A" w:rsidRPr="00F32E4A" w:rsidRDefault="00F32E4A" w:rsidP="00F32E4A">
      <w:pPr>
        <w:spacing w:before="100" w:beforeAutospacing="1" w:after="100" w:afterAutospacing="1"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Aim </w:t>
      </w:r>
    </w:p>
    <w:p w14:paraId="3CD2033B"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  The aim of this instruction is to provide a standard management and reporting process for all disciplines within BAMA and act as a guide for individuals who have no prior experience in incident management to follow. </w:t>
      </w:r>
    </w:p>
    <w:p w14:paraId="5FD2D2C3" w14:textId="77777777" w:rsidR="00F32E4A" w:rsidRPr="00F32E4A" w:rsidRDefault="00F32E4A" w:rsidP="00F32E4A">
      <w:pPr>
        <w:spacing w:before="100" w:beforeAutospacing="1" w:after="100" w:afterAutospacing="1" w:line="240" w:lineRule="auto"/>
        <w:ind w:left="11" w:hanging="11"/>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Action </w:t>
      </w:r>
    </w:p>
    <w:p w14:paraId="35EC64FF"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b/>
          <w:bCs/>
          <w:color w:val="000000"/>
          <w:kern w:val="0"/>
          <w:sz w:val="24"/>
          <w:lang w:eastAsia="en-GB"/>
          <w14:ligatures w14:val="none"/>
        </w:rPr>
        <w:t>Prelims</w:t>
      </w:r>
      <w:r w:rsidRPr="00F32E4A">
        <w:rPr>
          <w:rFonts w:ascii="Arial" w:eastAsia="Arial" w:hAnsi="Arial" w:cs="Arial"/>
          <w:color w:val="000000"/>
          <w:kern w:val="0"/>
          <w:sz w:val="24"/>
          <w:lang w:eastAsia="en-GB"/>
          <w14:ligatures w14:val="none"/>
        </w:rPr>
        <w:t xml:space="preserve">. This instruction is to be added to the AI or Addendum as an Annex. </w:t>
      </w:r>
    </w:p>
    <w:p w14:paraId="48EB6287" w14:textId="77777777" w:rsidR="00F32E4A" w:rsidRPr="00F32E4A" w:rsidRDefault="00F32E4A" w:rsidP="00F32E4A">
      <w:pPr>
        <w:tabs>
          <w:tab w:val="left" w:pos="284"/>
        </w:tabs>
        <w:spacing w:before="100" w:beforeAutospacing="1" w:after="100" w:afterAutospacing="1" w:line="240" w:lineRule="auto"/>
        <w:ind w:hanging="11"/>
        <w:contextualSpacing/>
        <w:rPr>
          <w:rFonts w:ascii="Arial" w:eastAsia="Arial" w:hAnsi="Arial" w:cs="Arial"/>
          <w:color w:val="000000"/>
          <w:kern w:val="0"/>
          <w:sz w:val="24"/>
          <w:lang w:eastAsia="en-GB"/>
          <w14:ligatures w14:val="none"/>
        </w:rPr>
      </w:pPr>
    </w:p>
    <w:p w14:paraId="092FB15C" w14:textId="77777777" w:rsidR="00F32E4A" w:rsidRPr="00F32E4A" w:rsidRDefault="00F32E4A" w:rsidP="00F32E4A">
      <w:pPr>
        <w:numPr>
          <w:ilvl w:val="0"/>
          <w:numId w:val="2"/>
        </w:numPr>
        <w:tabs>
          <w:tab w:val="left" w:pos="284"/>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At the beginning of each event, the Activity Deliverer will place a hard copy of the AI into a folder along with: </w:t>
      </w:r>
    </w:p>
    <w:p w14:paraId="05B3C182" w14:textId="77777777" w:rsidR="00F32E4A" w:rsidRPr="00F32E4A" w:rsidRDefault="00F32E4A" w:rsidP="00F32E4A">
      <w:pPr>
        <w:tabs>
          <w:tab w:val="left" w:pos="284"/>
        </w:tabs>
        <w:spacing w:before="100" w:beforeAutospacing="1" w:after="100" w:afterAutospacing="1" w:line="240" w:lineRule="auto"/>
        <w:ind w:hanging="11"/>
        <w:contextualSpacing/>
        <w:rPr>
          <w:rFonts w:ascii="Arial" w:eastAsia="Arial" w:hAnsi="Arial" w:cs="Arial"/>
          <w:color w:val="000000"/>
          <w:kern w:val="0"/>
          <w:sz w:val="24"/>
          <w:lang w:eastAsia="en-GB"/>
          <w14:ligatures w14:val="none"/>
        </w:rPr>
      </w:pPr>
    </w:p>
    <w:p w14:paraId="5C135CB6" w14:textId="77777777" w:rsidR="00F32E4A" w:rsidRPr="00F32E4A" w:rsidRDefault="00F32E4A" w:rsidP="00F32E4A">
      <w:pPr>
        <w:numPr>
          <w:ilvl w:val="0"/>
          <w:numId w:val="3"/>
        </w:numPr>
        <w:tabs>
          <w:tab w:val="left" w:pos="284"/>
          <w:tab w:val="left" w:pos="567"/>
        </w:tabs>
        <w:spacing w:before="100" w:beforeAutospacing="1" w:after="100" w:afterAutospacing="1" w:line="240" w:lineRule="auto"/>
        <w:ind w:left="567"/>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An up-to-date nominal roll of all SP in attendance including visitors.</w:t>
      </w:r>
    </w:p>
    <w:p w14:paraId="6DD88CB4" w14:textId="77777777" w:rsidR="00F32E4A" w:rsidRPr="00F32E4A" w:rsidRDefault="00F32E4A" w:rsidP="00F32E4A">
      <w:pPr>
        <w:tabs>
          <w:tab w:val="left" w:pos="284"/>
          <w:tab w:val="left" w:pos="567"/>
        </w:tabs>
        <w:spacing w:before="100" w:beforeAutospacing="1" w:after="100" w:afterAutospacing="1" w:line="240" w:lineRule="auto"/>
        <w:ind w:left="567"/>
        <w:contextualSpacing/>
        <w:rPr>
          <w:rFonts w:ascii="Arial" w:eastAsia="Arial" w:hAnsi="Arial" w:cs="Arial"/>
          <w:color w:val="000000"/>
          <w:kern w:val="0"/>
          <w:sz w:val="24"/>
          <w:lang w:eastAsia="en-GB"/>
          <w14:ligatures w14:val="none"/>
        </w:rPr>
      </w:pPr>
    </w:p>
    <w:p w14:paraId="279AC662" w14:textId="77777777" w:rsidR="00F32E4A" w:rsidRPr="00F32E4A" w:rsidRDefault="00F32E4A" w:rsidP="00F32E4A">
      <w:pPr>
        <w:numPr>
          <w:ilvl w:val="0"/>
          <w:numId w:val="3"/>
        </w:numPr>
        <w:tabs>
          <w:tab w:val="left" w:pos="284"/>
          <w:tab w:val="left" w:pos="567"/>
        </w:tabs>
        <w:spacing w:before="100" w:beforeAutospacing="1" w:after="100" w:afterAutospacing="1" w:line="240" w:lineRule="auto"/>
        <w:ind w:left="567"/>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A paper copy of each ‘on duty’ SP unit </w:t>
      </w:r>
      <w:proofErr w:type="spellStart"/>
      <w:r w:rsidRPr="00F32E4A">
        <w:rPr>
          <w:rFonts w:ascii="Arial" w:eastAsia="Arial" w:hAnsi="Arial" w:cs="Arial"/>
          <w:color w:val="000000"/>
          <w:kern w:val="0"/>
          <w:sz w:val="24"/>
          <w:lang w:eastAsia="en-GB"/>
          <w14:ligatures w14:val="none"/>
        </w:rPr>
        <w:t>Pt1</w:t>
      </w:r>
      <w:proofErr w:type="spellEnd"/>
      <w:r w:rsidRPr="00F32E4A">
        <w:rPr>
          <w:rFonts w:ascii="Arial" w:eastAsia="Arial" w:hAnsi="Arial" w:cs="Arial"/>
          <w:color w:val="000000"/>
          <w:kern w:val="0"/>
          <w:sz w:val="24"/>
          <w:lang w:eastAsia="en-GB"/>
          <w14:ligatures w14:val="none"/>
        </w:rPr>
        <w:t xml:space="preserve"> Orders.</w:t>
      </w:r>
    </w:p>
    <w:p w14:paraId="77B97424" w14:textId="77777777" w:rsidR="00F32E4A" w:rsidRPr="00F32E4A" w:rsidRDefault="00F32E4A" w:rsidP="00F32E4A">
      <w:pPr>
        <w:tabs>
          <w:tab w:val="left" w:pos="284"/>
          <w:tab w:val="left" w:pos="567"/>
        </w:tabs>
        <w:spacing w:before="100" w:beforeAutospacing="1" w:after="100" w:afterAutospacing="1" w:line="240" w:lineRule="auto"/>
        <w:ind w:left="1287" w:hanging="11"/>
        <w:contextualSpacing/>
        <w:rPr>
          <w:rFonts w:ascii="Arial" w:eastAsia="Arial" w:hAnsi="Arial" w:cs="Arial"/>
          <w:color w:val="000000"/>
          <w:kern w:val="0"/>
          <w:sz w:val="24"/>
          <w:lang w:eastAsia="en-GB"/>
          <w14:ligatures w14:val="none"/>
        </w:rPr>
      </w:pPr>
    </w:p>
    <w:p w14:paraId="20A9816A"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At the beginning of each event, the Activity Deliverer is to the brief all personnel on the location and contents of the folder and the importance of social media discipline following an incident.</w:t>
      </w:r>
    </w:p>
    <w:p w14:paraId="21D68E8F" w14:textId="77777777" w:rsidR="00F32E4A" w:rsidRPr="00F32E4A" w:rsidRDefault="00F32E4A" w:rsidP="00F32E4A">
      <w:pPr>
        <w:tabs>
          <w:tab w:val="left" w:pos="284"/>
          <w:tab w:val="left" w:pos="567"/>
        </w:tabs>
        <w:spacing w:before="100" w:beforeAutospacing="1" w:after="100" w:afterAutospacing="1" w:line="240" w:lineRule="auto"/>
        <w:ind w:hanging="11"/>
        <w:contextualSpacing/>
        <w:rPr>
          <w:rFonts w:ascii="Arial" w:eastAsia="Arial" w:hAnsi="Arial" w:cs="Arial"/>
          <w:color w:val="000000"/>
          <w:kern w:val="0"/>
          <w:sz w:val="24"/>
          <w:lang w:eastAsia="en-GB"/>
          <w14:ligatures w14:val="none"/>
        </w:rPr>
      </w:pPr>
    </w:p>
    <w:p w14:paraId="3F27CFA1"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b/>
          <w:bCs/>
          <w:color w:val="000000"/>
          <w:kern w:val="0"/>
          <w:sz w:val="24"/>
          <w:lang w:eastAsia="en-GB"/>
          <w14:ligatures w14:val="none"/>
        </w:rPr>
        <w:t>Method</w:t>
      </w:r>
      <w:r w:rsidRPr="00F32E4A">
        <w:rPr>
          <w:rFonts w:ascii="Arial" w:eastAsia="Arial" w:hAnsi="Arial" w:cs="Arial"/>
          <w:color w:val="000000"/>
          <w:kern w:val="0"/>
          <w:sz w:val="24"/>
          <w:lang w:eastAsia="en-GB"/>
          <w14:ligatures w14:val="none"/>
        </w:rPr>
        <w:t xml:space="preserve">. In the case of an Accident, Serious Incident, Incident or Near Miss, </w:t>
      </w:r>
      <w:proofErr w:type="gramStart"/>
      <w:r w:rsidRPr="00F32E4A">
        <w:rPr>
          <w:rFonts w:ascii="Arial" w:eastAsia="Arial" w:hAnsi="Arial" w:cs="Arial"/>
          <w:color w:val="000000"/>
          <w:kern w:val="0"/>
          <w:sz w:val="24"/>
          <w:lang w:eastAsia="en-GB"/>
          <w14:ligatures w14:val="none"/>
        </w:rPr>
        <w:t>an  Incident</w:t>
      </w:r>
      <w:proofErr w:type="gramEnd"/>
      <w:r w:rsidRPr="00F32E4A">
        <w:rPr>
          <w:rFonts w:ascii="Arial" w:eastAsia="Arial" w:hAnsi="Arial" w:cs="Arial"/>
          <w:color w:val="000000"/>
          <w:kern w:val="0"/>
          <w:sz w:val="24"/>
          <w:lang w:eastAsia="en-GB"/>
          <w14:ligatures w14:val="none"/>
        </w:rPr>
        <w:t xml:space="preserve"> SPOC (Single Point of Contact) shall be identified. The Incident SPOC is to the access the folder and follow the flow chart at Fig 1 using information available within the other documents where applicable. The Incident SPOC should be in constant contact with other participants so that any </w:t>
      </w:r>
      <w:proofErr w:type="spellStart"/>
      <w:r w:rsidRPr="00F32E4A">
        <w:rPr>
          <w:rFonts w:ascii="Arial" w:eastAsia="Arial" w:hAnsi="Arial" w:cs="Arial"/>
          <w:color w:val="000000"/>
          <w:kern w:val="0"/>
          <w:sz w:val="24"/>
          <w:lang w:eastAsia="en-GB"/>
          <w14:ligatures w14:val="none"/>
        </w:rPr>
        <w:t>TRiM</w:t>
      </w:r>
      <w:proofErr w:type="spellEnd"/>
      <w:r w:rsidRPr="00F32E4A">
        <w:rPr>
          <w:rFonts w:ascii="Arial" w:eastAsia="Arial" w:hAnsi="Arial" w:cs="Arial"/>
          <w:color w:val="000000"/>
          <w:kern w:val="0"/>
          <w:sz w:val="24"/>
          <w:lang w:eastAsia="en-GB"/>
          <w14:ligatures w14:val="none"/>
        </w:rPr>
        <w:t xml:space="preserve"> requirements can be identified at the event. </w:t>
      </w:r>
    </w:p>
    <w:p w14:paraId="7555187F" w14:textId="77777777" w:rsidR="00F32E4A" w:rsidRPr="00F32E4A" w:rsidRDefault="00F32E4A" w:rsidP="00F32E4A">
      <w:pPr>
        <w:tabs>
          <w:tab w:val="left" w:pos="567"/>
        </w:tabs>
        <w:spacing w:beforeAutospacing="1" w:after="0" w:afterAutospacing="1" w:line="240" w:lineRule="auto"/>
        <w:contextualSpacing/>
        <w:rPr>
          <w:rFonts w:ascii="Arial" w:eastAsia="Arial" w:hAnsi="Arial" w:cs="Arial"/>
          <w:color w:val="000000"/>
          <w:kern w:val="0"/>
          <w:sz w:val="24"/>
          <w:lang w:eastAsia="en-GB"/>
          <w14:ligatures w14:val="none"/>
        </w:rPr>
      </w:pPr>
    </w:p>
    <w:p w14:paraId="5C99A523" w14:textId="77777777" w:rsidR="00F32E4A" w:rsidRPr="00F32E4A" w:rsidRDefault="00F32E4A" w:rsidP="00F32E4A">
      <w:pPr>
        <w:numPr>
          <w:ilvl w:val="0"/>
          <w:numId w:val="2"/>
        </w:numPr>
        <w:tabs>
          <w:tab w:val="left" w:pos="567"/>
        </w:tabs>
        <w:spacing w:beforeAutospacing="1" w:after="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The Incident SPOC shall alert the Risk Owner through the Signal reporting chain.</w:t>
      </w:r>
    </w:p>
    <w:p w14:paraId="0D612A3A" w14:textId="77777777" w:rsidR="00F32E4A" w:rsidRPr="00F32E4A" w:rsidRDefault="00F32E4A" w:rsidP="00F32E4A">
      <w:pPr>
        <w:spacing w:after="0" w:line="240" w:lineRule="auto"/>
        <w:ind w:left="720" w:hanging="11"/>
        <w:contextualSpacing/>
        <w:rPr>
          <w:rFonts w:ascii="Arial" w:eastAsia="Arial" w:hAnsi="Arial" w:cs="Arial"/>
          <w:color w:val="000000"/>
          <w:kern w:val="0"/>
          <w:sz w:val="24"/>
          <w:lang w:eastAsia="en-GB"/>
          <w14:ligatures w14:val="none"/>
        </w:rPr>
      </w:pPr>
    </w:p>
    <w:p w14:paraId="639DA5DF"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Where possible it should be the injured party who initiates the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Alert as this will go to their unit for further input as a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Report. Where this is not possible, the Incident SPOC should initiate the Alert. The Incident SPOC shall keep a record of all telephone calls made using Fig 2.</w:t>
      </w:r>
    </w:p>
    <w:p w14:paraId="31F13BB2" w14:textId="77777777" w:rsidR="00F32E4A" w:rsidRPr="00F32E4A" w:rsidRDefault="00F32E4A" w:rsidP="00F32E4A">
      <w:pPr>
        <w:tabs>
          <w:tab w:val="left" w:pos="567"/>
        </w:tabs>
        <w:spacing w:beforeAutospacing="1" w:after="0" w:afterAutospacing="1" w:line="240" w:lineRule="auto"/>
        <w:contextualSpacing/>
        <w:rPr>
          <w:rFonts w:ascii="Arial" w:eastAsia="Arial" w:hAnsi="Arial" w:cs="Arial"/>
          <w:color w:val="000000"/>
          <w:kern w:val="0"/>
          <w:sz w:val="24"/>
          <w:lang w:eastAsia="en-GB"/>
          <w14:ligatures w14:val="none"/>
        </w:rPr>
      </w:pPr>
    </w:p>
    <w:p w14:paraId="0E8BF3C8" w14:textId="77777777" w:rsidR="00F32E4A" w:rsidRPr="00F32E4A" w:rsidRDefault="00F32E4A" w:rsidP="00F32E4A">
      <w:pPr>
        <w:numPr>
          <w:ilvl w:val="0"/>
          <w:numId w:val="2"/>
        </w:numPr>
        <w:tabs>
          <w:tab w:val="left" w:pos="567"/>
        </w:tabs>
        <w:spacing w:beforeAutospacing="1" w:after="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b/>
          <w:bCs/>
          <w:color w:val="000000"/>
          <w:kern w:val="0"/>
          <w:sz w:val="24"/>
          <w:lang w:eastAsia="en-GB"/>
          <w14:ligatures w14:val="none"/>
        </w:rPr>
        <w:t>Exemption</w:t>
      </w:r>
      <w:r w:rsidRPr="00F32E4A">
        <w:rPr>
          <w:rFonts w:ascii="Arial" w:eastAsia="Arial" w:hAnsi="Arial" w:cs="Arial"/>
          <w:color w:val="000000"/>
          <w:kern w:val="0"/>
          <w:sz w:val="24"/>
          <w:lang w:eastAsia="en-GB"/>
          <w14:ligatures w14:val="none"/>
        </w:rPr>
        <w:t>. The only exemption to this instruction is where an SP is serving as part of, or with a unit where name and details may be withheld. Where this is the case the incident controller shall contact the exchange on Tel: 01432 357311.</w:t>
      </w:r>
    </w:p>
    <w:p w14:paraId="2A140A83" w14:textId="77777777" w:rsidR="00F32E4A" w:rsidRPr="00F32E4A" w:rsidRDefault="00F32E4A" w:rsidP="00F32E4A">
      <w:pPr>
        <w:spacing w:after="0" w:line="240" w:lineRule="auto"/>
        <w:ind w:left="720" w:hanging="11"/>
        <w:contextualSpacing/>
        <w:rPr>
          <w:rFonts w:ascii="Arial" w:eastAsia="Arial" w:hAnsi="Arial" w:cs="Arial"/>
          <w:color w:val="000000"/>
          <w:kern w:val="0"/>
          <w:sz w:val="24"/>
          <w:lang w:eastAsia="en-GB"/>
          <w14:ligatures w14:val="none"/>
        </w:rPr>
      </w:pPr>
    </w:p>
    <w:p w14:paraId="5DE408AC"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proofErr w:type="gramStart"/>
      <w:r w:rsidRPr="00F32E4A">
        <w:rPr>
          <w:rFonts w:ascii="Arial" w:eastAsia="Arial" w:hAnsi="Arial" w:cs="Arial"/>
          <w:b/>
          <w:bCs/>
          <w:color w:val="000000"/>
          <w:kern w:val="0"/>
          <w:sz w:val="24"/>
          <w:lang w:eastAsia="en-GB"/>
          <w14:ligatures w14:val="none"/>
        </w:rPr>
        <w:t>Close down</w:t>
      </w:r>
      <w:proofErr w:type="gramEnd"/>
      <w:r w:rsidRPr="00F32E4A">
        <w:rPr>
          <w:rFonts w:ascii="Arial" w:eastAsia="Arial" w:hAnsi="Arial" w:cs="Arial"/>
          <w:color w:val="000000"/>
          <w:kern w:val="0"/>
          <w:sz w:val="24"/>
          <w:lang w:eastAsia="en-GB"/>
          <w14:ligatures w14:val="none"/>
        </w:rPr>
        <w:t xml:space="preserve">. The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SPOC is to keep in contact with outside authorities for as long as is deemed necessary. The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SPOC should remain the Single Point of Contact for outside authorities unless otherwise detailed (this may be a substantial time following the event). The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SPOC should be able to keep all individuals informed of any developments throughout. Where a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Report is </w:t>
      </w:r>
      <w:proofErr w:type="gramStart"/>
      <w:r w:rsidRPr="00F32E4A">
        <w:rPr>
          <w:rFonts w:ascii="Arial" w:eastAsia="Arial" w:hAnsi="Arial" w:cs="Arial"/>
          <w:color w:val="000000"/>
          <w:kern w:val="0"/>
          <w:sz w:val="24"/>
          <w:lang w:eastAsia="en-GB"/>
          <w14:ligatures w14:val="none"/>
        </w:rPr>
        <w:t>closed down</w:t>
      </w:r>
      <w:proofErr w:type="gramEnd"/>
      <w:r w:rsidRPr="00F32E4A">
        <w:rPr>
          <w:rFonts w:ascii="Arial" w:eastAsia="Arial" w:hAnsi="Arial" w:cs="Arial"/>
          <w:color w:val="000000"/>
          <w:kern w:val="0"/>
          <w:sz w:val="24"/>
          <w:lang w:eastAsia="en-GB"/>
          <w14:ligatures w14:val="none"/>
        </w:rPr>
        <w:t xml:space="preserve"> by an individual’s unit, that SP should inform the </w:t>
      </w:r>
      <w:proofErr w:type="spellStart"/>
      <w:r w:rsidRPr="00F32E4A">
        <w:rPr>
          <w:rFonts w:ascii="Arial" w:eastAsia="Arial" w:hAnsi="Arial" w:cs="Arial"/>
          <w:color w:val="000000"/>
          <w:kern w:val="0"/>
          <w:sz w:val="24"/>
          <w:lang w:eastAsia="en-GB"/>
          <w14:ligatures w14:val="none"/>
        </w:rPr>
        <w:t>MYSAFETY</w:t>
      </w:r>
      <w:proofErr w:type="spellEnd"/>
      <w:r w:rsidRPr="00F32E4A">
        <w:rPr>
          <w:rFonts w:ascii="Arial" w:eastAsia="Arial" w:hAnsi="Arial" w:cs="Arial"/>
          <w:color w:val="000000"/>
          <w:kern w:val="0"/>
          <w:sz w:val="24"/>
          <w:lang w:eastAsia="en-GB"/>
          <w14:ligatures w14:val="none"/>
        </w:rPr>
        <w:t xml:space="preserve"> SPOC.</w:t>
      </w:r>
    </w:p>
    <w:p w14:paraId="102D9A76" w14:textId="77777777" w:rsidR="00F32E4A" w:rsidRPr="00F32E4A" w:rsidRDefault="00F32E4A" w:rsidP="00F32E4A">
      <w:pPr>
        <w:spacing w:after="0" w:line="240" w:lineRule="auto"/>
        <w:ind w:left="720" w:hanging="11"/>
        <w:contextualSpacing/>
        <w:rPr>
          <w:rFonts w:ascii="Arial" w:eastAsia="Arial" w:hAnsi="Arial" w:cs="Arial"/>
          <w:color w:val="000000"/>
          <w:kern w:val="0"/>
          <w:sz w:val="24"/>
          <w:lang w:eastAsia="en-GB"/>
          <w14:ligatures w14:val="none"/>
        </w:rPr>
      </w:pPr>
    </w:p>
    <w:p w14:paraId="408B4A87" w14:textId="77777777" w:rsidR="00F32E4A" w:rsidRPr="00F32E4A" w:rsidRDefault="00F32E4A" w:rsidP="00F32E4A">
      <w:pPr>
        <w:numPr>
          <w:ilvl w:val="0"/>
          <w:numId w:val="2"/>
        </w:numPr>
        <w:tabs>
          <w:tab w:val="left" w:pos="567"/>
        </w:tabs>
        <w:spacing w:before="100" w:beforeAutospacing="1" w:after="100" w:afterAutospacing="1" w:line="240" w:lineRule="auto"/>
        <w:contextualSpacing/>
        <w:rPr>
          <w:rFonts w:ascii="Arial" w:eastAsia="Arial" w:hAnsi="Arial" w:cs="Arial"/>
          <w:color w:val="000000"/>
          <w:kern w:val="0"/>
          <w:sz w:val="24"/>
          <w:lang w:eastAsia="en-GB"/>
          <w14:ligatures w14:val="none"/>
        </w:rPr>
      </w:pPr>
      <w:r w:rsidRPr="00F32E4A">
        <w:rPr>
          <w:rFonts w:ascii="Arial" w:eastAsia="Arial" w:hAnsi="Arial" w:cs="Arial"/>
          <w:color w:val="000000"/>
          <w:kern w:val="0"/>
          <w:sz w:val="24"/>
          <w:lang w:eastAsia="en-GB"/>
          <w14:ligatures w14:val="none"/>
        </w:rPr>
        <w:t xml:space="preserve">The Discipline Operations Manager should contact each participating individual’s parent unit so they can be made aware if there is any requirement for </w:t>
      </w:r>
      <w:proofErr w:type="spellStart"/>
      <w:r w:rsidRPr="00F32E4A">
        <w:rPr>
          <w:rFonts w:ascii="Arial" w:eastAsia="Arial" w:hAnsi="Arial" w:cs="Arial"/>
          <w:color w:val="000000"/>
          <w:kern w:val="0"/>
          <w:sz w:val="24"/>
          <w:lang w:eastAsia="en-GB"/>
          <w14:ligatures w14:val="none"/>
        </w:rPr>
        <w:t>TRiM</w:t>
      </w:r>
      <w:proofErr w:type="spellEnd"/>
      <w:r w:rsidRPr="00F32E4A">
        <w:rPr>
          <w:rFonts w:ascii="Arial" w:eastAsia="Arial" w:hAnsi="Arial" w:cs="Arial"/>
          <w:color w:val="000000"/>
          <w:kern w:val="0"/>
          <w:sz w:val="24"/>
          <w:lang w:eastAsia="en-GB"/>
          <w14:ligatures w14:val="none"/>
        </w:rPr>
        <w:t xml:space="preserve"> post event where necessary.</w:t>
      </w:r>
    </w:p>
    <w:p w14:paraId="695F3355" w14:textId="77777777" w:rsid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3AB6F695" w14:textId="04414163" w:rsidR="00F32E4A" w:rsidRDefault="00F32E4A">
      <w:pPr>
        <w:rPr>
          <w:rFonts w:ascii="Arial" w:eastAsia="Arial" w:hAnsi="Arial" w:cs="Arial"/>
          <w:color w:val="000000"/>
          <w:kern w:val="0"/>
          <w:sz w:val="24"/>
          <w:lang w:eastAsia="en-GB"/>
          <w14:ligatures w14:val="none"/>
        </w:rPr>
      </w:pPr>
      <w:r>
        <w:rPr>
          <w:rFonts w:ascii="Arial" w:eastAsia="Arial" w:hAnsi="Arial" w:cs="Arial"/>
          <w:color w:val="000000"/>
          <w:kern w:val="0"/>
          <w:sz w:val="24"/>
          <w:lang w:eastAsia="en-GB"/>
          <w14:ligatures w14:val="none"/>
        </w:rPr>
        <w:br w:type="page"/>
      </w:r>
    </w:p>
    <w:p w14:paraId="28ABFFD1" w14:textId="65069359" w:rsidR="00F32E4A" w:rsidRPr="00F32E4A" w:rsidRDefault="00F32E4A" w:rsidP="00F32E4A">
      <w:pPr>
        <w:rPr>
          <w:rFonts w:ascii="Arial" w:eastAsia="Arial" w:hAnsi="Arial" w:cs="Arial"/>
          <w:color w:val="000000"/>
          <w:kern w:val="0"/>
          <w:sz w:val="24"/>
          <w:lang w:eastAsia="en-GB"/>
          <w14:ligatures w14:val="none"/>
        </w:rPr>
        <w:sectPr w:rsidR="00F32E4A" w:rsidRPr="00F32E4A" w:rsidSect="00F32E4A">
          <w:footerReference w:type="even" r:id="rId10"/>
          <w:footerReference w:type="default" r:id="rId11"/>
          <w:pgSz w:w="11906" w:h="16838" w:code="9"/>
          <w:pgMar w:top="1440" w:right="1275" w:bottom="1440" w:left="1118" w:header="720" w:footer="720" w:gutter="0"/>
          <w:cols w:space="416"/>
          <w:docGrid w:linePitch="326"/>
        </w:sectPr>
      </w:pPr>
    </w:p>
    <w:p w14:paraId="181E8E4B" w14:textId="77777777" w:rsidR="00F32E4A" w:rsidRPr="00F32E4A" w:rsidRDefault="00F32E4A" w:rsidP="00F32E4A">
      <w:pPr>
        <w:spacing w:after="0" w:line="240" w:lineRule="auto"/>
        <w:jc w:val="center"/>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lastRenderedPageBreak/>
        <w:t>BAMA Incident Management Instruction</w:t>
      </w:r>
    </w:p>
    <w:p w14:paraId="674596C1" w14:textId="77777777" w:rsidR="00F32E4A" w:rsidRPr="00F32E4A" w:rsidRDefault="00F32E4A" w:rsidP="00F32E4A">
      <w:pPr>
        <w:spacing w:after="0" w:line="240" w:lineRule="auto"/>
        <w:ind w:left="11" w:hanging="11"/>
        <w:jc w:val="center"/>
        <w:rPr>
          <w:rFonts w:ascii="Arial" w:eastAsia="Arial" w:hAnsi="Arial" w:cs="Arial"/>
          <w:color w:val="000000"/>
          <w:kern w:val="0"/>
          <w:sz w:val="18"/>
          <w:szCs w:val="18"/>
          <w:lang w:eastAsia="en-GB"/>
          <w14:ligatures w14:val="none"/>
        </w:rPr>
      </w:pPr>
      <w:r w:rsidRPr="00F32E4A">
        <w:rPr>
          <w:rFonts w:ascii="Arial" w:eastAsia="Arial" w:hAnsi="Arial" w:cs="Arial"/>
          <w:noProof/>
          <w:color w:val="000000"/>
          <w:kern w:val="0"/>
          <w:sz w:val="24"/>
          <w:lang w:eastAsia="en-GB"/>
          <w14:ligatures w14:val="none"/>
        </w:rPr>
        <w:drawing>
          <wp:inline distT="0" distB="0" distL="0" distR="0" wp14:anchorId="4F7B9416" wp14:editId="52ECF67E">
            <wp:extent cx="8858250" cy="657225"/>
            <wp:effectExtent l="0" t="0" r="0" b="0"/>
            <wp:docPr id="1185347077" name="Picture 118534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858250" cy="657225"/>
                    </a:xfrm>
                    <a:prstGeom prst="rect">
                      <a:avLst/>
                    </a:prstGeom>
                  </pic:spPr>
                </pic:pic>
              </a:graphicData>
            </a:graphic>
          </wp:inline>
        </w:drawing>
      </w:r>
      <w:r w:rsidRPr="00F32E4A">
        <w:rPr>
          <w:rFonts w:ascii="Arial" w:eastAsia="Arial" w:hAnsi="Arial" w:cs="Arial"/>
          <w:noProof/>
          <w:color w:val="000000"/>
          <w:kern w:val="0"/>
          <w:sz w:val="24"/>
          <w:lang w:eastAsia="en-GB"/>
          <w14:ligatures w14:val="none"/>
        </w:rPr>
        <w:drawing>
          <wp:inline distT="0" distB="0" distL="0" distR="0" wp14:anchorId="67B92C31" wp14:editId="45E14DA2">
            <wp:extent cx="8858250" cy="1285875"/>
            <wp:effectExtent l="0" t="0" r="0" b="0"/>
            <wp:docPr id="1185217568" name="Picture 118521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858250" cy="1285875"/>
                    </a:xfrm>
                    <a:prstGeom prst="rect">
                      <a:avLst/>
                    </a:prstGeom>
                  </pic:spPr>
                </pic:pic>
              </a:graphicData>
            </a:graphic>
          </wp:inline>
        </w:drawing>
      </w:r>
      <w:r w:rsidRPr="00F32E4A">
        <w:rPr>
          <w:rFonts w:ascii="Arial" w:eastAsia="Arial" w:hAnsi="Arial" w:cs="Arial"/>
          <w:noProof/>
          <w:color w:val="000000"/>
          <w:kern w:val="0"/>
          <w:sz w:val="24"/>
          <w:lang w:eastAsia="en-GB"/>
          <w14:ligatures w14:val="none"/>
        </w:rPr>
        <w:drawing>
          <wp:inline distT="0" distB="0" distL="0" distR="0" wp14:anchorId="6F6C2706" wp14:editId="232215F4">
            <wp:extent cx="8858250" cy="876300"/>
            <wp:effectExtent l="0" t="0" r="0" b="0"/>
            <wp:docPr id="117291289" name="Picture 11729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858250" cy="876300"/>
                    </a:xfrm>
                    <a:prstGeom prst="rect">
                      <a:avLst/>
                    </a:prstGeom>
                  </pic:spPr>
                </pic:pic>
              </a:graphicData>
            </a:graphic>
          </wp:inline>
        </w:drawing>
      </w:r>
      <w:r w:rsidRPr="00F32E4A">
        <w:rPr>
          <w:rFonts w:ascii="Arial" w:eastAsia="Arial" w:hAnsi="Arial" w:cs="Arial"/>
          <w:noProof/>
          <w:color w:val="000000"/>
          <w:kern w:val="0"/>
          <w:sz w:val="24"/>
          <w:lang w:eastAsia="en-GB"/>
          <w14:ligatures w14:val="none"/>
        </w:rPr>
        <w:drawing>
          <wp:inline distT="0" distB="0" distL="0" distR="0" wp14:anchorId="6DB10662" wp14:editId="3B4EC826">
            <wp:extent cx="8858250" cy="552450"/>
            <wp:effectExtent l="0" t="0" r="0" b="0"/>
            <wp:docPr id="1259037385" name="Picture 125903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858250" cy="552450"/>
                    </a:xfrm>
                    <a:prstGeom prst="rect">
                      <a:avLst/>
                    </a:prstGeom>
                  </pic:spPr>
                </pic:pic>
              </a:graphicData>
            </a:graphic>
          </wp:inline>
        </w:drawing>
      </w:r>
      <w:r w:rsidRPr="00F32E4A">
        <w:rPr>
          <w:rFonts w:ascii="Arial" w:eastAsia="Arial" w:hAnsi="Arial" w:cs="Arial"/>
          <w:noProof/>
          <w:color w:val="000000"/>
          <w:kern w:val="0"/>
          <w:sz w:val="24"/>
          <w:lang w:eastAsia="en-GB"/>
          <w14:ligatures w14:val="none"/>
        </w:rPr>
        <w:drawing>
          <wp:inline distT="0" distB="0" distL="0" distR="0" wp14:anchorId="58613F08" wp14:editId="25BBFEF5">
            <wp:extent cx="8858250" cy="704850"/>
            <wp:effectExtent l="0" t="0" r="0" b="0"/>
            <wp:docPr id="456662838" name="Picture 45666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8858250" cy="704850"/>
                    </a:xfrm>
                    <a:prstGeom prst="rect">
                      <a:avLst/>
                    </a:prstGeom>
                  </pic:spPr>
                </pic:pic>
              </a:graphicData>
            </a:graphic>
          </wp:inline>
        </w:drawing>
      </w:r>
      <w:r w:rsidRPr="00F32E4A">
        <w:rPr>
          <w:rFonts w:ascii="Arial" w:eastAsia="Arial" w:hAnsi="Arial" w:cs="Arial"/>
          <w:b/>
          <w:bCs/>
          <w:color w:val="000000"/>
          <w:kern w:val="0"/>
          <w:sz w:val="18"/>
          <w:szCs w:val="18"/>
          <w:lang w:eastAsia="en-GB"/>
          <w14:ligatures w14:val="none"/>
        </w:rPr>
        <w:t>Figure 1.</w:t>
      </w:r>
      <w:r w:rsidRPr="00F32E4A">
        <w:rPr>
          <w:rFonts w:ascii="Arial" w:eastAsia="Arial" w:hAnsi="Arial" w:cs="Arial"/>
          <w:color w:val="000000"/>
          <w:kern w:val="0"/>
          <w:sz w:val="18"/>
          <w:szCs w:val="18"/>
          <w:lang w:eastAsia="en-GB"/>
          <w14:ligatures w14:val="none"/>
        </w:rPr>
        <w:t xml:space="preserve"> Incident reporting flowchart</w:t>
      </w:r>
    </w:p>
    <w:p w14:paraId="73B55D33" w14:textId="77777777" w:rsidR="00F32E4A" w:rsidRPr="00F32E4A" w:rsidRDefault="00F32E4A" w:rsidP="00F32E4A">
      <w:pPr>
        <w:spacing w:after="0" w:line="240" w:lineRule="auto"/>
        <w:ind w:left="11" w:hanging="11"/>
        <w:jc w:val="center"/>
        <w:rPr>
          <w:rFonts w:ascii="Arial" w:eastAsia="Arial" w:hAnsi="Arial" w:cs="Arial"/>
          <w:color w:val="000000"/>
          <w:kern w:val="0"/>
          <w:sz w:val="18"/>
          <w:szCs w:val="18"/>
          <w:lang w:eastAsia="en-GB"/>
          <w14:ligatures w14:val="none"/>
        </w:rPr>
      </w:pPr>
    </w:p>
    <w:p w14:paraId="0FC56DBC" w14:textId="77777777" w:rsidR="00F32E4A" w:rsidRPr="00F32E4A" w:rsidRDefault="00F32E4A" w:rsidP="00F32E4A">
      <w:pPr>
        <w:spacing w:after="0" w:line="240" w:lineRule="auto"/>
        <w:ind w:left="11" w:hanging="11"/>
        <w:rPr>
          <w:rFonts w:ascii="Arial" w:eastAsia="Arial" w:hAnsi="Arial" w:cs="Arial"/>
          <w:color w:val="000000"/>
          <w:kern w:val="0"/>
          <w:lang w:eastAsia="en-GB"/>
          <w14:ligatures w14:val="none"/>
        </w:rPr>
      </w:pPr>
      <w:proofErr w:type="gramStart"/>
      <w:r w:rsidRPr="00F32E4A">
        <w:rPr>
          <w:rFonts w:ascii="Arial" w:eastAsia="Arial" w:hAnsi="Arial" w:cs="Arial"/>
          <w:color w:val="000000"/>
          <w:kern w:val="0"/>
          <w:lang w:eastAsia="en-GB"/>
          <w14:ligatures w14:val="none"/>
        </w:rPr>
        <w:t>As a general rule</w:t>
      </w:r>
      <w:proofErr w:type="gramEnd"/>
      <w:r w:rsidRPr="00F32E4A">
        <w:rPr>
          <w:rFonts w:ascii="Arial" w:eastAsia="Arial" w:hAnsi="Arial" w:cs="Arial"/>
          <w:color w:val="000000"/>
          <w:kern w:val="0"/>
          <w:lang w:eastAsia="en-GB"/>
          <w14:ligatures w14:val="none"/>
        </w:rPr>
        <w:t xml:space="preserve">, any incident/accident involving a knock to the head or back/neck or limbs where that SP is required to drive away from the event, should be seen by the event medical staff prior to dispersal. </w:t>
      </w:r>
    </w:p>
    <w:p w14:paraId="240F70AF" w14:textId="77777777" w:rsidR="00F32E4A" w:rsidRPr="00F32E4A" w:rsidRDefault="00F32E4A" w:rsidP="00F32E4A">
      <w:pPr>
        <w:spacing w:after="0" w:line="240" w:lineRule="auto"/>
        <w:ind w:left="11" w:hanging="11"/>
        <w:rPr>
          <w:rFonts w:ascii="Arial" w:eastAsia="Arial" w:hAnsi="Arial" w:cs="Arial"/>
          <w:color w:val="000000"/>
          <w:kern w:val="0"/>
          <w:lang w:eastAsia="en-GB"/>
          <w14:ligatures w14:val="none"/>
        </w:rPr>
      </w:pPr>
    </w:p>
    <w:p w14:paraId="7F62A391" w14:textId="77777777" w:rsidR="00F32E4A" w:rsidRPr="00F32E4A" w:rsidRDefault="00F32E4A" w:rsidP="00F32E4A">
      <w:pPr>
        <w:spacing w:after="0" w:line="240" w:lineRule="auto"/>
        <w:ind w:left="11" w:hanging="11"/>
        <w:rPr>
          <w:rFonts w:ascii="Arial" w:eastAsia="Arial" w:hAnsi="Arial" w:cs="Arial"/>
          <w:color w:val="000000"/>
          <w:kern w:val="0"/>
          <w:lang w:eastAsia="en-GB"/>
          <w14:ligatures w14:val="none"/>
        </w:rPr>
      </w:pPr>
      <w:r w:rsidRPr="00F32E4A">
        <w:rPr>
          <w:rFonts w:ascii="Arial" w:eastAsia="Arial" w:hAnsi="Arial" w:cs="Arial"/>
          <w:color w:val="000000"/>
          <w:kern w:val="0"/>
          <w:lang w:eastAsia="en-GB"/>
          <w14:ligatures w14:val="none"/>
        </w:rPr>
        <w:t xml:space="preserve">As per paragraph 8, a </w:t>
      </w:r>
      <w:proofErr w:type="spellStart"/>
      <w:r w:rsidRPr="00F32E4A">
        <w:rPr>
          <w:rFonts w:ascii="Arial" w:eastAsia="Arial" w:hAnsi="Arial" w:cs="Arial"/>
          <w:color w:val="000000"/>
          <w:kern w:val="0"/>
          <w:lang w:eastAsia="en-GB"/>
          <w14:ligatures w14:val="none"/>
        </w:rPr>
        <w:t>MYSAFETY</w:t>
      </w:r>
      <w:proofErr w:type="spellEnd"/>
      <w:r w:rsidRPr="00F32E4A">
        <w:rPr>
          <w:rFonts w:ascii="Arial" w:eastAsia="Arial" w:hAnsi="Arial" w:cs="Arial"/>
          <w:color w:val="000000"/>
          <w:kern w:val="0"/>
          <w:lang w:eastAsia="en-GB"/>
          <w14:ligatures w14:val="none"/>
        </w:rPr>
        <w:t xml:space="preserve"> Alert should ideally be raised by the individual involved. This ensures that person has access rights if the report requires additional information </w:t>
      </w:r>
      <w:proofErr w:type="gramStart"/>
      <w:r w:rsidRPr="00F32E4A">
        <w:rPr>
          <w:rFonts w:ascii="Arial" w:eastAsia="Arial" w:hAnsi="Arial" w:cs="Arial"/>
          <w:color w:val="000000"/>
          <w:kern w:val="0"/>
          <w:lang w:eastAsia="en-GB"/>
          <w14:ligatures w14:val="none"/>
        </w:rPr>
        <w:t>at a later date</w:t>
      </w:r>
      <w:proofErr w:type="gramEnd"/>
      <w:r w:rsidRPr="00F32E4A">
        <w:rPr>
          <w:rFonts w:ascii="Arial" w:eastAsia="Arial" w:hAnsi="Arial" w:cs="Arial"/>
          <w:color w:val="000000"/>
          <w:kern w:val="0"/>
          <w:lang w:eastAsia="en-GB"/>
          <w14:ligatures w14:val="none"/>
        </w:rPr>
        <w:t xml:space="preserve">. Raising a </w:t>
      </w:r>
      <w:proofErr w:type="spellStart"/>
      <w:r w:rsidRPr="00F32E4A">
        <w:rPr>
          <w:rFonts w:ascii="Arial" w:eastAsia="Arial" w:hAnsi="Arial" w:cs="Arial"/>
          <w:color w:val="000000"/>
          <w:kern w:val="0"/>
          <w:lang w:eastAsia="en-GB"/>
          <w14:ligatures w14:val="none"/>
        </w:rPr>
        <w:t>MYSAFETY</w:t>
      </w:r>
      <w:proofErr w:type="spellEnd"/>
      <w:r w:rsidRPr="00F32E4A">
        <w:rPr>
          <w:rFonts w:ascii="Arial" w:eastAsia="Arial" w:hAnsi="Arial" w:cs="Arial"/>
          <w:color w:val="000000"/>
          <w:kern w:val="0"/>
          <w:lang w:eastAsia="en-GB"/>
          <w14:ligatures w14:val="none"/>
        </w:rPr>
        <w:t xml:space="preserve"> Alert does not automatically inform any other organisation.</w:t>
      </w:r>
    </w:p>
    <w:p w14:paraId="0FD571A6" w14:textId="77777777" w:rsidR="00F32E4A" w:rsidRPr="00F32E4A" w:rsidRDefault="00F32E4A" w:rsidP="00F32E4A">
      <w:pPr>
        <w:spacing w:after="0" w:line="240" w:lineRule="auto"/>
        <w:rPr>
          <w:rFonts w:ascii="Arial" w:eastAsia="Arial" w:hAnsi="Arial" w:cs="Arial"/>
          <w:color w:val="000000"/>
          <w:kern w:val="0"/>
          <w:sz w:val="18"/>
          <w:szCs w:val="18"/>
          <w:lang w:eastAsia="en-GB"/>
          <w14:ligatures w14:val="none"/>
        </w:rPr>
      </w:pPr>
    </w:p>
    <w:p w14:paraId="7CA9B5BC" w14:textId="77777777" w:rsidR="00F32E4A" w:rsidRPr="00F32E4A" w:rsidRDefault="00F32E4A" w:rsidP="00F32E4A">
      <w:pPr>
        <w:spacing w:after="0" w:line="240" w:lineRule="auto"/>
        <w:ind w:left="11" w:hanging="11"/>
        <w:jc w:val="center"/>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lastRenderedPageBreak/>
        <w:t>Incident Call Register</w:t>
      </w:r>
    </w:p>
    <w:p w14:paraId="0A75965E" w14:textId="77777777" w:rsidR="00F32E4A" w:rsidRPr="00F32E4A" w:rsidRDefault="00F32E4A" w:rsidP="00F32E4A">
      <w:pPr>
        <w:spacing w:after="0" w:line="240" w:lineRule="auto"/>
        <w:ind w:left="11" w:hanging="11"/>
        <w:rPr>
          <w:rFonts w:ascii="Arial" w:eastAsia="Arial" w:hAnsi="Arial" w:cs="Arial"/>
          <w:color w:val="000000"/>
          <w:kern w:val="0"/>
          <w:sz w:val="18"/>
          <w:szCs w:val="18"/>
          <w:lang w:eastAsia="en-GB"/>
          <w14:ligatures w14:val="none"/>
        </w:rPr>
      </w:pPr>
    </w:p>
    <w:p w14:paraId="5C165C4E" w14:textId="77777777" w:rsidR="00F32E4A" w:rsidRPr="00F32E4A" w:rsidRDefault="00F32E4A" w:rsidP="00F32E4A">
      <w:pPr>
        <w:spacing w:after="0" w:line="240" w:lineRule="auto"/>
        <w:ind w:left="11" w:hanging="11"/>
        <w:rPr>
          <w:rFonts w:ascii="Arial" w:eastAsia="Arial" w:hAnsi="Arial" w:cs="Arial"/>
          <w:b/>
          <w:bCs/>
          <w:color w:val="000000"/>
          <w:kern w:val="0"/>
          <w:sz w:val="24"/>
          <w:lang w:eastAsia="en-GB"/>
          <w14:ligatures w14:val="none"/>
        </w:rPr>
      </w:pPr>
    </w:p>
    <w:p w14:paraId="2EBE5A2B" w14:textId="77777777" w:rsidR="00F32E4A" w:rsidRPr="00F32E4A" w:rsidRDefault="00F32E4A" w:rsidP="00F32E4A">
      <w:pPr>
        <w:spacing w:after="0" w:line="240" w:lineRule="auto"/>
        <w:rPr>
          <w:rFonts w:ascii="Arial" w:eastAsia="Arial" w:hAnsi="Arial" w:cs="Arial"/>
          <w:color w:val="000000"/>
          <w:kern w:val="0"/>
          <w:sz w:val="18"/>
          <w:szCs w:val="18"/>
          <w:lang w:eastAsia="en-GB"/>
          <w14:ligatures w14:val="none"/>
        </w:rPr>
      </w:pPr>
    </w:p>
    <w:tbl>
      <w:tblPr>
        <w:tblStyle w:val="TableGrid"/>
        <w:tblpPr w:leftFromText="180" w:rightFromText="180" w:horzAnchor="margin" w:tblpY="585"/>
        <w:tblW w:w="13795" w:type="dxa"/>
        <w:tblInd w:w="0" w:type="dxa"/>
        <w:tblLook w:val="04A0" w:firstRow="1" w:lastRow="0" w:firstColumn="1" w:lastColumn="0" w:noHBand="0" w:noVBand="1"/>
      </w:tblPr>
      <w:tblGrid>
        <w:gridCol w:w="1413"/>
        <w:gridCol w:w="1417"/>
        <w:gridCol w:w="1560"/>
        <w:gridCol w:w="9405"/>
      </w:tblGrid>
      <w:tr w:rsidR="00F32E4A" w:rsidRPr="00F32E4A" w14:paraId="745EC103" w14:textId="77777777" w:rsidTr="004054F7">
        <w:trPr>
          <w:trHeight w:val="300"/>
        </w:trPr>
        <w:tc>
          <w:tcPr>
            <w:tcW w:w="1413" w:type="dxa"/>
            <w:vAlign w:val="center"/>
          </w:tcPr>
          <w:p w14:paraId="5795E64E" w14:textId="77777777" w:rsidR="00F32E4A" w:rsidRPr="00F32E4A" w:rsidRDefault="00F32E4A" w:rsidP="00F32E4A">
            <w:pPr>
              <w:ind w:left="11" w:hanging="11"/>
              <w:jc w:val="center"/>
              <w:rPr>
                <w:rFonts w:ascii="Arial" w:eastAsia="Arial" w:hAnsi="Arial" w:cs="Arial"/>
                <w:b/>
                <w:bCs/>
                <w:color w:val="000000"/>
                <w:sz w:val="18"/>
                <w:szCs w:val="18"/>
                <w:lang w:eastAsia="en-GB"/>
              </w:rPr>
            </w:pPr>
            <w:r w:rsidRPr="00F32E4A">
              <w:rPr>
                <w:rFonts w:ascii="Arial" w:eastAsia="Arial" w:hAnsi="Arial" w:cs="Arial"/>
                <w:b/>
                <w:bCs/>
                <w:color w:val="000000"/>
                <w:sz w:val="18"/>
                <w:szCs w:val="18"/>
                <w:lang w:eastAsia="en-GB"/>
              </w:rPr>
              <w:t>DTG</w:t>
            </w:r>
          </w:p>
        </w:tc>
        <w:tc>
          <w:tcPr>
            <w:tcW w:w="1417" w:type="dxa"/>
            <w:vAlign w:val="center"/>
          </w:tcPr>
          <w:p w14:paraId="2CB13181" w14:textId="77777777" w:rsidR="00F32E4A" w:rsidRPr="00F32E4A" w:rsidRDefault="00F32E4A" w:rsidP="00F32E4A">
            <w:pPr>
              <w:ind w:left="11" w:hanging="11"/>
              <w:jc w:val="center"/>
              <w:rPr>
                <w:rFonts w:ascii="Arial" w:eastAsia="Arial" w:hAnsi="Arial" w:cs="Arial"/>
                <w:b/>
                <w:bCs/>
                <w:color w:val="000000"/>
                <w:sz w:val="18"/>
                <w:szCs w:val="18"/>
                <w:lang w:eastAsia="en-GB"/>
              </w:rPr>
            </w:pPr>
            <w:r w:rsidRPr="00F32E4A">
              <w:rPr>
                <w:rFonts w:ascii="Arial" w:eastAsia="Arial" w:hAnsi="Arial" w:cs="Arial"/>
                <w:b/>
                <w:bCs/>
                <w:color w:val="000000"/>
                <w:sz w:val="18"/>
                <w:szCs w:val="18"/>
                <w:lang w:eastAsia="en-GB"/>
              </w:rPr>
              <w:t>Caller</w:t>
            </w:r>
          </w:p>
        </w:tc>
        <w:tc>
          <w:tcPr>
            <w:tcW w:w="1560" w:type="dxa"/>
            <w:vAlign w:val="center"/>
          </w:tcPr>
          <w:p w14:paraId="24C4DC4F" w14:textId="77777777" w:rsidR="00F32E4A" w:rsidRPr="00F32E4A" w:rsidRDefault="00F32E4A" w:rsidP="00F32E4A">
            <w:pPr>
              <w:ind w:left="11" w:hanging="11"/>
              <w:jc w:val="center"/>
              <w:rPr>
                <w:rFonts w:ascii="Arial" w:eastAsia="Arial" w:hAnsi="Arial" w:cs="Arial"/>
                <w:b/>
                <w:bCs/>
                <w:color w:val="000000"/>
                <w:sz w:val="18"/>
                <w:szCs w:val="18"/>
                <w:lang w:eastAsia="en-GB"/>
              </w:rPr>
            </w:pPr>
            <w:r w:rsidRPr="00F32E4A">
              <w:rPr>
                <w:rFonts w:ascii="Arial" w:eastAsia="Arial" w:hAnsi="Arial" w:cs="Arial"/>
                <w:b/>
                <w:bCs/>
                <w:color w:val="000000"/>
                <w:sz w:val="18"/>
                <w:szCs w:val="18"/>
                <w:lang w:eastAsia="en-GB"/>
              </w:rPr>
              <w:t>Receiver</w:t>
            </w:r>
          </w:p>
        </w:tc>
        <w:tc>
          <w:tcPr>
            <w:tcW w:w="9405" w:type="dxa"/>
            <w:vAlign w:val="center"/>
          </w:tcPr>
          <w:p w14:paraId="2F449040" w14:textId="77777777" w:rsidR="00F32E4A" w:rsidRPr="00F32E4A" w:rsidRDefault="00F32E4A" w:rsidP="00F32E4A">
            <w:pPr>
              <w:ind w:left="11" w:hanging="11"/>
              <w:jc w:val="center"/>
              <w:rPr>
                <w:rFonts w:ascii="Arial" w:eastAsia="Arial" w:hAnsi="Arial" w:cs="Arial"/>
                <w:b/>
                <w:bCs/>
                <w:color w:val="000000"/>
                <w:sz w:val="18"/>
                <w:szCs w:val="18"/>
                <w:lang w:eastAsia="en-GB"/>
              </w:rPr>
            </w:pPr>
            <w:r w:rsidRPr="00F32E4A">
              <w:rPr>
                <w:rFonts w:ascii="Arial" w:eastAsia="Arial" w:hAnsi="Arial" w:cs="Arial"/>
                <w:b/>
                <w:bCs/>
                <w:color w:val="000000"/>
                <w:sz w:val="18"/>
                <w:szCs w:val="18"/>
                <w:lang w:eastAsia="en-GB"/>
              </w:rPr>
              <w:t>Outline of call</w:t>
            </w:r>
          </w:p>
        </w:tc>
      </w:tr>
      <w:tr w:rsidR="00F32E4A" w:rsidRPr="00F32E4A" w14:paraId="39C1FAFC" w14:textId="77777777" w:rsidTr="004054F7">
        <w:trPr>
          <w:trHeight w:val="300"/>
        </w:trPr>
        <w:tc>
          <w:tcPr>
            <w:tcW w:w="1413" w:type="dxa"/>
          </w:tcPr>
          <w:p w14:paraId="721F8127"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3DAAB91E"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598C88CA"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7F68A5DD" w14:textId="77777777" w:rsidR="00F32E4A" w:rsidRPr="00F32E4A" w:rsidRDefault="00F32E4A" w:rsidP="00F32E4A">
            <w:pPr>
              <w:ind w:left="11" w:hanging="11"/>
              <w:rPr>
                <w:rFonts w:ascii="Arial" w:eastAsia="Arial" w:hAnsi="Arial" w:cs="Arial"/>
                <w:color w:val="000000"/>
                <w:sz w:val="18"/>
                <w:szCs w:val="18"/>
                <w:lang w:eastAsia="en-GB"/>
              </w:rPr>
            </w:pPr>
          </w:p>
          <w:p w14:paraId="6CB0127B"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5A970DA5" w14:textId="77777777" w:rsidTr="004054F7">
        <w:trPr>
          <w:trHeight w:val="300"/>
        </w:trPr>
        <w:tc>
          <w:tcPr>
            <w:tcW w:w="1413" w:type="dxa"/>
          </w:tcPr>
          <w:p w14:paraId="61C66A97"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13F402EB"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13209F9B"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6597B38E" w14:textId="77777777" w:rsidR="00F32E4A" w:rsidRPr="00F32E4A" w:rsidRDefault="00F32E4A" w:rsidP="00F32E4A">
            <w:pPr>
              <w:ind w:left="11" w:hanging="11"/>
              <w:rPr>
                <w:rFonts w:ascii="Arial" w:eastAsia="Arial" w:hAnsi="Arial" w:cs="Arial"/>
                <w:color w:val="000000"/>
                <w:sz w:val="18"/>
                <w:szCs w:val="18"/>
                <w:lang w:eastAsia="en-GB"/>
              </w:rPr>
            </w:pPr>
          </w:p>
          <w:p w14:paraId="07D03BE9"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21EE8119" w14:textId="77777777" w:rsidTr="004054F7">
        <w:trPr>
          <w:trHeight w:val="300"/>
        </w:trPr>
        <w:tc>
          <w:tcPr>
            <w:tcW w:w="1413" w:type="dxa"/>
          </w:tcPr>
          <w:p w14:paraId="6FF34F07"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642BA272"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7903E69F"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25B36197" w14:textId="77777777" w:rsidR="00F32E4A" w:rsidRPr="00F32E4A" w:rsidRDefault="00F32E4A" w:rsidP="00F32E4A">
            <w:pPr>
              <w:ind w:left="11" w:hanging="11"/>
              <w:rPr>
                <w:rFonts w:ascii="Arial" w:eastAsia="Arial" w:hAnsi="Arial" w:cs="Arial"/>
                <w:color w:val="000000"/>
                <w:sz w:val="18"/>
                <w:szCs w:val="18"/>
                <w:lang w:eastAsia="en-GB"/>
              </w:rPr>
            </w:pPr>
          </w:p>
          <w:p w14:paraId="6DB3B332"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237E2B70" w14:textId="77777777" w:rsidTr="004054F7">
        <w:trPr>
          <w:trHeight w:val="300"/>
        </w:trPr>
        <w:tc>
          <w:tcPr>
            <w:tcW w:w="1413" w:type="dxa"/>
          </w:tcPr>
          <w:p w14:paraId="55DB6057"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5C0BD5A7"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4D103EA9"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0340AED1" w14:textId="77777777" w:rsidR="00F32E4A" w:rsidRPr="00F32E4A" w:rsidRDefault="00F32E4A" w:rsidP="00F32E4A">
            <w:pPr>
              <w:ind w:left="11" w:hanging="11"/>
              <w:rPr>
                <w:rFonts w:ascii="Arial" w:eastAsia="Arial" w:hAnsi="Arial" w:cs="Arial"/>
                <w:color w:val="000000"/>
                <w:sz w:val="18"/>
                <w:szCs w:val="18"/>
                <w:lang w:eastAsia="en-GB"/>
              </w:rPr>
            </w:pPr>
          </w:p>
          <w:p w14:paraId="637F3E19"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369842A6" w14:textId="77777777" w:rsidTr="004054F7">
        <w:trPr>
          <w:trHeight w:val="300"/>
        </w:trPr>
        <w:tc>
          <w:tcPr>
            <w:tcW w:w="1413" w:type="dxa"/>
          </w:tcPr>
          <w:p w14:paraId="3A5536D0"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72249C35"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01898482"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13AD2E65" w14:textId="77777777" w:rsidR="00F32E4A" w:rsidRPr="00F32E4A" w:rsidRDefault="00F32E4A" w:rsidP="00F32E4A">
            <w:pPr>
              <w:ind w:left="11" w:hanging="11"/>
              <w:rPr>
                <w:rFonts w:ascii="Arial" w:eastAsia="Arial" w:hAnsi="Arial" w:cs="Arial"/>
                <w:color w:val="000000"/>
                <w:sz w:val="18"/>
                <w:szCs w:val="18"/>
                <w:lang w:eastAsia="en-GB"/>
              </w:rPr>
            </w:pPr>
          </w:p>
          <w:p w14:paraId="75D990E3"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51F03329" w14:textId="77777777" w:rsidTr="004054F7">
        <w:trPr>
          <w:trHeight w:val="300"/>
        </w:trPr>
        <w:tc>
          <w:tcPr>
            <w:tcW w:w="1413" w:type="dxa"/>
          </w:tcPr>
          <w:p w14:paraId="0A41A503"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13641B3D"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0275C104"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7A7A5F5C" w14:textId="77777777" w:rsidR="00F32E4A" w:rsidRPr="00F32E4A" w:rsidRDefault="00F32E4A" w:rsidP="00F32E4A">
            <w:pPr>
              <w:ind w:left="11" w:hanging="11"/>
              <w:rPr>
                <w:rFonts w:ascii="Arial" w:eastAsia="Arial" w:hAnsi="Arial" w:cs="Arial"/>
                <w:color w:val="000000"/>
                <w:sz w:val="18"/>
                <w:szCs w:val="18"/>
                <w:lang w:eastAsia="en-GB"/>
              </w:rPr>
            </w:pPr>
          </w:p>
          <w:p w14:paraId="43A9535F"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12DE112E" w14:textId="77777777" w:rsidTr="004054F7">
        <w:trPr>
          <w:trHeight w:val="300"/>
        </w:trPr>
        <w:tc>
          <w:tcPr>
            <w:tcW w:w="1413" w:type="dxa"/>
          </w:tcPr>
          <w:p w14:paraId="06E788F6"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7B7DE968"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287022C9"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70F330FD" w14:textId="77777777" w:rsidR="00F32E4A" w:rsidRPr="00F32E4A" w:rsidRDefault="00F32E4A" w:rsidP="00F32E4A">
            <w:pPr>
              <w:ind w:left="11" w:hanging="11"/>
              <w:rPr>
                <w:rFonts w:ascii="Arial" w:eastAsia="Arial" w:hAnsi="Arial" w:cs="Arial"/>
                <w:color w:val="000000"/>
                <w:sz w:val="18"/>
                <w:szCs w:val="18"/>
                <w:lang w:eastAsia="en-GB"/>
              </w:rPr>
            </w:pPr>
          </w:p>
          <w:p w14:paraId="3CAB4E0D"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2CE794C1" w14:textId="77777777" w:rsidTr="004054F7">
        <w:trPr>
          <w:trHeight w:val="300"/>
        </w:trPr>
        <w:tc>
          <w:tcPr>
            <w:tcW w:w="1413" w:type="dxa"/>
          </w:tcPr>
          <w:p w14:paraId="6C45DDFC"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4F62094D"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7F0BB971"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7FD62885" w14:textId="77777777" w:rsidR="00F32E4A" w:rsidRPr="00F32E4A" w:rsidRDefault="00F32E4A" w:rsidP="00F32E4A">
            <w:pPr>
              <w:ind w:left="11" w:hanging="11"/>
              <w:rPr>
                <w:rFonts w:ascii="Arial" w:eastAsia="Arial" w:hAnsi="Arial" w:cs="Arial"/>
                <w:color w:val="000000"/>
                <w:sz w:val="18"/>
                <w:szCs w:val="18"/>
                <w:lang w:eastAsia="en-GB"/>
              </w:rPr>
            </w:pPr>
          </w:p>
          <w:p w14:paraId="55DD7BEA"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63AB53EF" w14:textId="77777777" w:rsidTr="004054F7">
        <w:trPr>
          <w:trHeight w:val="300"/>
        </w:trPr>
        <w:tc>
          <w:tcPr>
            <w:tcW w:w="1413" w:type="dxa"/>
          </w:tcPr>
          <w:p w14:paraId="4B42744C"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4F746CB0"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407A770D"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353602C4" w14:textId="77777777" w:rsidR="00F32E4A" w:rsidRPr="00F32E4A" w:rsidRDefault="00F32E4A" w:rsidP="00F32E4A">
            <w:pPr>
              <w:ind w:left="11" w:hanging="11"/>
              <w:rPr>
                <w:rFonts w:ascii="Arial" w:eastAsia="Arial" w:hAnsi="Arial" w:cs="Arial"/>
                <w:color w:val="000000"/>
                <w:sz w:val="18"/>
                <w:szCs w:val="18"/>
                <w:lang w:eastAsia="en-GB"/>
              </w:rPr>
            </w:pPr>
          </w:p>
          <w:p w14:paraId="7414F942"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3DA3D5D5" w14:textId="77777777" w:rsidTr="004054F7">
        <w:trPr>
          <w:trHeight w:val="300"/>
        </w:trPr>
        <w:tc>
          <w:tcPr>
            <w:tcW w:w="1413" w:type="dxa"/>
          </w:tcPr>
          <w:p w14:paraId="3EBFD483"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60487383"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56846532"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302B0BA0" w14:textId="77777777" w:rsidR="00F32E4A" w:rsidRPr="00F32E4A" w:rsidRDefault="00F32E4A" w:rsidP="00F32E4A">
            <w:pPr>
              <w:ind w:left="11" w:hanging="11"/>
              <w:rPr>
                <w:rFonts w:ascii="Arial" w:eastAsia="Arial" w:hAnsi="Arial" w:cs="Arial"/>
                <w:color w:val="000000"/>
                <w:sz w:val="18"/>
                <w:szCs w:val="18"/>
                <w:lang w:eastAsia="en-GB"/>
              </w:rPr>
            </w:pPr>
          </w:p>
          <w:p w14:paraId="7E69D881"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1DC0B0FB" w14:textId="77777777" w:rsidTr="004054F7">
        <w:trPr>
          <w:trHeight w:val="300"/>
        </w:trPr>
        <w:tc>
          <w:tcPr>
            <w:tcW w:w="1413" w:type="dxa"/>
          </w:tcPr>
          <w:p w14:paraId="514F27B7"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64B3816D"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55792CA8"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24B2FEC0" w14:textId="77777777" w:rsidR="00F32E4A" w:rsidRPr="00F32E4A" w:rsidRDefault="00F32E4A" w:rsidP="00F32E4A">
            <w:pPr>
              <w:ind w:left="11" w:hanging="11"/>
              <w:rPr>
                <w:rFonts w:ascii="Arial" w:eastAsia="Arial" w:hAnsi="Arial" w:cs="Arial"/>
                <w:color w:val="000000"/>
                <w:sz w:val="18"/>
                <w:szCs w:val="18"/>
                <w:lang w:eastAsia="en-GB"/>
              </w:rPr>
            </w:pPr>
          </w:p>
          <w:p w14:paraId="01E3DDCD"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447FA212" w14:textId="77777777" w:rsidTr="004054F7">
        <w:trPr>
          <w:trHeight w:val="300"/>
        </w:trPr>
        <w:tc>
          <w:tcPr>
            <w:tcW w:w="1413" w:type="dxa"/>
          </w:tcPr>
          <w:p w14:paraId="045246CF"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63733176"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553D79E5"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327A33F6" w14:textId="77777777" w:rsidR="00F32E4A" w:rsidRPr="00F32E4A" w:rsidRDefault="00F32E4A" w:rsidP="00F32E4A">
            <w:pPr>
              <w:ind w:left="11" w:hanging="11"/>
              <w:rPr>
                <w:rFonts w:ascii="Arial" w:eastAsia="Arial" w:hAnsi="Arial" w:cs="Arial"/>
                <w:color w:val="000000"/>
                <w:sz w:val="18"/>
                <w:szCs w:val="18"/>
                <w:lang w:eastAsia="en-GB"/>
              </w:rPr>
            </w:pPr>
          </w:p>
          <w:p w14:paraId="1528422E"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267ABFE2" w14:textId="77777777" w:rsidTr="004054F7">
        <w:trPr>
          <w:trHeight w:val="300"/>
        </w:trPr>
        <w:tc>
          <w:tcPr>
            <w:tcW w:w="1413" w:type="dxa"/>
          </w:tcPr>
          <w:p w14:paraId="6F7971B1"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210B7562"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4FA30199"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3B8131FC" w14:textId="77777777" w:rsidR="00F32E4A" w:rsidRPr="00F32E4A" w:rsidRDefault="00F32E4A" w:rsidP="00F32E4A">
            <w:pPr>
              <w:ind w:left="11" w:hanging="11"/>
              <w:rPr>
                <w:rFonts w:ascii="Arial" w:eastAsia="Arial" w:hAnsi="Arial" w:cs="Arial"/>
                <w:color w:val="000000"/>
                <w:sz w:val="18"/>
                <w:szCs w:val="18"/>
                <w:lang w:eastAsia="en-GB"/>
              </w:rPr>
            </w:pPr>
          </w:p>
          <w:p w14:paraId="66675D7F"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483845D4" w14:textId="77777777" w:rsidTr="004054F7">
        <w:trPr>
          <w:trHeight w:val="300"/>
        </w:trPr>
        <w:tc>
          <w:tcPr>
            <w:tcW w:w="1413" w:type="dxa"/>
          </w:tcPr>
          <w:p w14:paraId="4E200669"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3DA2C4A9"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285F4B0E"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6ACF32BF" w14:textId="77777777" w:rsidR="00F32E4A" w:rsidRPr="00F32E4A" w:rsidRDefault="00F32E4A" w:rsidP="00F32E4A">
            <w:pPr>
              <w:ind w:left="11" w:hanging="11"/>
              <w:rPr>
                <w:rFonts w:ascii="Arial" w:eastAsia="Arial" w:hAnsi="Arial" w:cs="Arial"/>
                <w:color w:val="000000"/>
                <w:sz w:val="18"/>
                <w:szCs w:val="18"/>
                <w:lang w:eastAsia="en-GB"/>
              </w:rPr>
            </w:pPr>
          </w:p>
          <w:p w14:paraId="29DAC159"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01F0C269" w14:textId="77777777" w:rsidTr="004054F7">
        <w:trPr>
          <w:trHeight w:val="300"/>
        </w:trPr>
        <w:tc>
          <w:tcPr>
            <w:tcW w:w="1413" w:type="dxa"/>
          </w:tcPr>
          <w:p w14:paraId="31DBAF55"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53E21723"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239E6997"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0F459176" w14:textId="77777777" w:rsidR="00F32E4A" w:rsidRPr="00F32E4A" w:rsidRDefault="00F32E4A" w:rsidP="00F32E4A">
            <w:pPr>
              <w:ind w:left="11" w:hanging="11"/>
              <w:rPr>
                <w:rFonts w:ascii="Arial" w:eastAsia="Arial" w:hAnsi="Arial" w:cs="Arial"/>
                <w:color w:val="000000"/>
                <w:sz w:val="18"/>
                <w:szCs w:val="18"/>
                <w:lang w:eastAsia="en-GB"/>
              </w:rPr>
            </w:pPr>
          </w:p>
          <w:p w14:paraId="7AEA19E8"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3FCB8A30" w14:textId="77777777" w:rsidTr="004054F7">
        <w:trPr>
          <w:trHeight w:val="300"/>
        </w:trPr>
        <w:tc>
          <w:tcPr>
            <w:tcW w:w="1413" w:type="dxa"/>
          </w:tcPr>
          <w:p w14:paraId="0C5EE3A1"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2F4F54C9"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11745D75"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38320FCF" w14:textId="77777777" w:rsidR="00F32E4A" w:rsidRPr="00F32E4A" w:rsidRDefault="00F32E4A" w:rsidP="00F32E4A">
            <w:pPr>
              <w:ind w:left="11" w:hanging="11"/>
              <w:rPr>
                <w:rFonts w:ascii="Arial" w:eastAsia="Arial" w:hAnsi="Arial" w:cs="Arial"/>
                <w:color w:val="000000"/>
                <w:sz w:val="18"/>
                <w:szCs w:val="18"/>
                <w:lang w:eastAsia="en-GB"/>
              </w:rPr>
            </w:pPr>
          </w:p>
          <w:p w14:paraId="7395402A" w14:textId="77777777" w:rsidR="00F32E4A" w:rsidRPr="00F32E4A" w:rsidRDefault="00F32E4A" w:rsidP="00F32E4A">
            <w:pPr>
              <w:ind w:left="11" w:hanging="11"/>
              <w:rPr>
                <w:rFonts w:ascii="Arial" w:eastAsia="Arial" w:hAnsi="Arial" w:cs="Arial"/>
                <w:color w:val="000000"/>
                <w:sz w:val="18"/>
                <w:szCs w:val="18"/>
                <w:lang w:eastAsia="en-GB"/>
              </w:rPr>
            </w:pPr>
          </w:p>
        </w:tc>
      </w:tr>
      <w:tr w:rsidR="00F32E4A" w:rsidRPr="00F32E4A" w14:paraId="2F55EA5D" w14:textId="77777777" w:rsidTr="004054F7">
        <w:trPr>
          <w:trHeight w:val="300"/>
        </w:trPr>
        <w:tc>
          <w:tcPr>
            <w:tcW w:w="1413" w:type="dxa"/>
          </w:tcPr>
          <w:p w14:paraId="7E8121E2" w14:textId="77777777" w:rsidR="00F32E4A" w:rsidRPr="00F32E4A" w:rsidRDefault="00F32E4A" w:rsidP="00F32E4A">
            <w:pPr>
              <w:ind w:left="11" w:hanging="11"/>
              <w:rPr>
                <w:rFonts w:ascii="Arial" w:eastAsia="Arial" w:hAnsi="Arial" w:cs="Arial"/>
                <w:color w:val="000000"/>
                <w:sz w:val="18"/>
                <w:szCs w:val="18"/>
                <w:lang w:eastAsia="en-GB"/>
              </w:rPr>
            </w:pPr>
          </w:p>
        </w:tc>
        <w:tc>
          <w:tcPr>
            <w:tcW w:w="1417" w:type="dxa"/>
          </w:tcPr>
          <w:p w14:paraId="3AFDE21F" w14:textId="77777777" w:rsidR="00F32E4A" w:rsidRPr="00F32E4A" w:rsidRDefault="00F32E4A" w:rsidP="00F32E4A">
            <w:pPr>
              <w:ind w:left="11" w:hanging="11"/>
              <w:rPr>
                <w:rFonts w:ascii="Arial" w:eastAsia="Arial" w:hAnsi="Arial" w:cs="Arial"/>
                <w:color w:val="000000"/>
                <w:sz w:val="18"/>
                <w:szCs w:val="18"/>
                <w:lang w:eastAsia="en-GB"/>
              </w:rPr>
            </w:pPr>
          </w:p>
        </w:tc>
        <w:tc>
          <w:tcPr>
            <w:tcW w:w="1560" w:type="dxa"/>
          </w:tcPr>
          <w:p w14:paraId="38D8A564" w14:textId="77777777" w:rsidR="00F32E4A" w:rsidRPr="00F32E4A" w:rsidRDefault="00F32E4A" w:rsidP="00F32E4A">
            <w:pPr>
              <w:ind w:left="11" w:hanging="11"/>
              <w:rPr>
                <w:rFonts w:ascii="Arial" w:eastAsia="Arial" w:hAnsi="Arial" w:cs="Arial"/>
                <w:color w:val="000000"/>
                <w:sz w:val="18"/>
                <w:szCs w:val="18"/>
                <w:lang w:eastAsia="en-GB"/>
              </w:rPr>
            </w:pPr>
          </w:p>
        </w:tc>
        <w:tc>
          <w:tcPr>
            <w:tcW w:w="9405" w:type="dxa"/>
          </w:tcPr>
          <w:p w14:paraId="6A4DB6E8" w14:textId="77777777" w:rsidR="00F32E4A" w:rsidRPr="00F32E4A" w:rsidRDefault="00F32E4A" w:rsidP="00F32E4A">
            <w:pPr>
              <w:ind w:left="11" w:hanging="11"/>
              <w:rPr>
                <w:rFonts w:ascii="Arial" w:eastAsia="Arial" w:hAnsi="Arial" w:cs="Arial"/>
                <w:color w:val="000000"/>
                <w:sz w:val="18"/>
                <w:szCs w:val="18"/>
                <w:lang w:eastAsia="en-GB"/>
              </w:rPr>
            </w:pPr>
          </w:p>
          <w:p w14:paraId="426ECA5B" w14:textId="77777777" w:rsidR="00F32E4A" w:rsidRPr="00F32E4A" w:rsidRDefault="00F32E4A" w:rsidP="00F32E4A">
            <w:pPr>
              <w:ind w:left="11" w:hanging="11"/>
              <w:rPr>
                <w:rFonts w:ascii="Arial" w:eastAsia="Arial" w:hAnsi="Arial" w:cs="Arial"/>
                <w:color w:val="000000"/>
                <w:sz w:val="18"/>
                <w:szCs w:val="18"/>
                <w:lang w:eastAsia="en-GB"/>
              </w:rPr>
            </w:pPr>
          </w:p>
        </w:tc>
      </w:tr>
    </w:tbl>
    <w:p w14:paraId="0E0CBB71" w14:textId="77777777" w:rsidR="00F32E4A" w:rsidRPr="00F32E4A" w:rsidRDefault="00F32E4A" w:rsidP="00F32E4A">
      <w:pPr>
        <w:spacing w:after="0" w:line="240" w:lineRule="auto"/>
        <w:rPr>
          <w:rFonts w:ascii="Arial" w:eastAsia="Arial" w:hAnsi="Arial" w:cs="Arial"/>
          <w:b/>
          <w:bCs/>
          <w:color w:val="000000"/>
          <w:kern w:val="0"/>
          <w:sz w:val="24"/>
          <w:szCs w:val="24"/>
          <w:lang w:eastAsia="en-GB"/>
          <w14:ligatures w14:val="none"/>
        </w:rPr>
      </w:pPr>
    </w:p>
    <w:p w14:paraId="197FA6BC" w14:textId="77777777" w:rsidR="00F32E4A" w:rsidRPr="00F32E4A" w:rsidRDefault="00F32E4A" w:rsidP="00F32E4A">
      <w:pPr>
        <w:tabs>
          <w:tab w:val="left" w:pos="7005"/>
        </w:tabs>
        <w:spacing w:after="0" w:line="240" w:lineRule="auto"/>
        <w:ind w:left="11" w:hanging="11"/>
        <w:jc w:val="center"/>
        <w:rPr>
          <w:rFonts w:ascii="Arial" w:eastAsia="Arial" w:hAnsi="Arial" w:cs="Arial"/>
          <w:color w:val="000000"/>
          <w:kern w:val="0"/>
          <w:sz w:val="18"/>
          <w:szCs w:val="18"/>
          <w:lang w:eastAsia="en-GB"/>
          <w14:ligatures w14:val="none"/>
        </w:rPr>
      </w:pPr>
      <w:r w:rsidRPr="00F32E4A">
        <w:rPr>
          <w:rFonts w:ascii="Arial" w:eastAsia="Arial" w:hAnsi="Arial" w:cs="Arial"/>
          <w:b/>
          <w:bCs/>
          <w:color w:val="000000"/>
          <w:kern w:val="0"/>
          <w:sz w:val="18"/>
          <w:szCs w:val="18"/>
          <w:lang w:eastAsia="en-GB"/>
          <w14:ligatures w14:val="none"/>
        </w:rPr>
        <w:t>Figure 2.</w:t>
      </w:r>
      <w:r w:rsidRPr="00F32E4A">
        <w:rPr>
          <w:rFonts w:ascii="Arial" w:eastAsia="Arial" w:hAnsi="Arial" w:cs="Arial"/>
          <w:color w:val="000000"/>
          <w:kern w:val="0"/>
          <w:sz w:val="18"/>
          <w:szCs w:val="18"/>
          <w:lang w:eastAsia="en-GB"/>
          <w14:ligatures w14:val="none"/>
        </w:rPr>
        <w:t xml:space="preserve"> Call Register</w:t>
      </w:r>
    </w:p>
    <w:p w14:paraId="512C351D" w14:textId="77777777" w:rsidR="00F32E4A" w:rsidRPr="00F32E4A" w:rsidRDefault="00F32E4A" w:rsidP="00F32E4A">
      <w:pPr>
        <w:spacing w:after="0" w:line="240" w:lineRule="auto"/>
        <w:jc w:val="center"/>
        <w:rPr>
          <w:rFonts w:ascii="Arial" w:eastAsia="Arial" w:hAnsi="Arial" w:cs="Arial"/>
          <w:color w:val="000000"/>
          <w:kern w:val="0"/>
          <w:sz w:val="20"/>
          <w:szCs w:val="20"/>
          <w:lang w:eastAsia="en-GB"/>
          <w14:ligatures w14:val="none"/>
        </w:rPr>
      </w:pPr>
    </w:p>
    <w:p w14:paraId="27FE89EE" w14:textId="77777777" w:rsidR="00F32E4A" w:rsidRPr="00F32E4A" w:rsidRDefault="00F32E4A" w:rsidP="00F32E4A">
      <w:pPr>
        <w:spacing w:after="0" w:line="240" w:lineRule="auto"/>
        <w:jc w:val="center"/>
        <w:rPr>
          <w:rFonts w:ascii="Arial" w:eastAsia="Arial" w:hAnsi="Arial" w:cs="Arial"/>
          <w:color w:val="000000"/>
          <w:kern w:val="0"/>
          <w:sz w:val="24"/>
          <w:lang w:eastAsia="en-GB"/>
          <w14:ligatures w14:val="none"/>
        </w:rPr>
      </w:pPr>
    </w:p>
    <w:p w14:paraId="6AFE349E"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35358457"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6122C9A8"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0E9F19E3"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08B0C381"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0048DB86"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061A44E0"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38D10AC3" w14:textId="77777777" w:rsidR="00F32E4A" w:rsidRPr="00F32E4A" w:rsidRDefault="00F32E4A" w:rsidP="00F32E4A">
      <w:pPr>
        <w:spacing w:after="0" w:line="240" w:lineRule="auto"/>
        <w:rPr>
          <w:rFonts w:ascii="Arial" w:eastAsia="Arial" w:hAnsi="Arial" w:cs="Arial"/>
          <w:color w:val="000000"/>
          <w:kern w:val="0"/>
          <w:sz w:val="24"/>
          <w:lang w:eastAsia="en-GB"/>
          <w14:ligatures w14:val="none"/>
        </w:rPr>
      </w:pPr>
    </w:p>
    <w:p w14:paraId="4696A455"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1C2B1B23"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3CBCC16A"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3054E616" w14:textId="77777777" w:rsidR="00F32E4A" w:rsidRPr="00F32E4A" w:rsidRDefault="00F32E4A" w:rsidP="00F32E4A">
      <w:pPr>
        <w:spacing w:after="0" w:line="240" w:lineRule="auto"/>
        <w:ind w:left="11" w:hanging="11"/>
        <w:rPr>
          <w:rFonts w:ascii="Arial" w:eastAsia="Arial" w:hAnsi="Arial" w:cs="Arial"/>
          <w:color w:val="000000"/>
          <w:kern w:val="0"/>
          <w:sz w:val="24"/>
          <w:lang w:eastAsia="en-GB"/>
          <w14:ligatures w14:val="none"/>
        </w:rPr>
      </w:pPr>
    </w:p>
    <w:p w14:paraId="440BA705" w14:textId="77777777" w:rsidR="00F32E4A" w:rsidRPr="00F32E4A" w:rsidRDefault="00F32E4A" w:rsidP="00F32E4A">
      <w:pPr>
        <w:spacing w:after="542" w:line="240" w:lineRule="auto"/>
        <w:ind w:left="14"/>
        <w:jc w:val="center"/>
        <w:rPr>
          <w:rFonts w:ascii="Arial" w:eastAsia="Arial" w:hAnsi="Arial" w:cs="Arial"/>
          <w:b/>
          <w:bCs/>
          <w:color w:val="000000"/>
          <w:kern w:val="0"/>
          <w:sz w:val="24"/>
          <w:szCs w:val="24"/>
          <w:lang w:eastAsia="en-GB"/>
          <w14:ligatures w14:val="none"/>
        </w:rPr>
      </w:pPr>
    </w:p>
    <w:p w14:paraId="0E133A2B" w14:textId="77777777" w:rsidR="00F32E4A" w:rsidRPr="00F32E4A" w:rsidRDefault="00F32E4A" w:rsidP="00F32E4A">
      <w:pPr>
        <w:spacing w:after="542" w:line="240" w:lineRule="auto"/>
        <w:ind w:left="14"/>
        <w:jc w:val="center"/>
        <w:rPr>
          <w:rFonts w:ascii="Arial" w:eastAsia="Arial" w:hAnsi="Arial" w:cs="Arial"/>
          <w:b/>
          <w:bCs/>
          <w:color w:val="000000"/>
          <w:kern w:val="0"/>
          <w:sz w:val="24"/>
          <w:szCs w:val="24"/>
          <w:lang w:eastAsia="en-GB"/>
          <w14:ligatures w14:val="none"/>
        </w:rPr>
      </w:pPr>
    </w:p>
    <w:p w14:paraId="12AB44D0" w14:textId="77777777" w:rsidR="00F32E4A" w:rsidRPr="00F32E4A" w:rsidRDefault="00F32E4A" w:rsidP="00F32E4A">
      <w:pPr>
        <w:spacing w:after="542" w:line="240" w:lineRule="auto"/>
        <w:ind w:left="14"/>
        <w:jc w:val="center"/>
        <w:rPr>
          <w:rFonts w:ascii="Arial" w:eastAsia="Arial" w:hAnsi="Arial" w:cs="Arial"/>
          <w:b/>
          <w:bCs/>
          <w:color w:val="000000"/>
          <w:kern w:val="0"/>
          <w:sz w:val="24"/>
          <w:lang w:eastAsia="en-GB"/>
          <w14:ligatures w14:val="none"/>
        </w:rPr>
      </w:pPr>
      <w:r w:rsidRPr="00F32E4A">
        <w:rPr>
          <w:rFonts w:ascii="Arial" w:eastAsia="Arial" w:hAnsi="Arial" w:cs="Arial"/>
          <w:b/>
          <w:bCs/>
          <w:color w:val="000000"/>
          <w:kern w:val="0"/>
          <w:sz w:val="24"/>
          <w:lang w:eastAsia="en-GB"/>
          <w14:ligatures w14:val="none"/>
        </w:rPr>
        <w:t xml:space="preserve">Intentionally left </w:t>
      </w:r>
      <w:proofErr w:type="gramStart"/>
      <w:r w:rsidRPr="00F32E4A">
        <w:rPr>
          <w:rFonts w:ascii="Arial" w:eastAsia="Arial" w:hAnsi="Arial" w:cs="Arial"/>
          <w:b/>
          <w:bCs/>
          <w:color w:val="000000"/>
          <w:kern w:val="0"/>
          <w:sz w:val="24"/>
          <w:lang w:eastAsia="en-GB"/>
          <w14:ligatures w14:val="none"/>
        </w:rPr>
        <w:t>blank</w:t>
      </w:r>
      <w:proofErr w:type="gramEnd"/>
    </w:p>
    <w:p w14:paraId="15D6100D" w14:textId="77777777" w:rsidR="007E3C3E" w:rsidRDefault="007E3C3E"/>
    <w:sectPr w:rsidR="007E3C3E" w:rsidSect="00F32E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C9CE" w14:textId="77777777" w:rsidR="00F32E4A" w:rsidRPr="002A6A4B" w:rsidRDefault="00F32E4A" w:rsidP="00BE3AE7">
    <w:pPr>
      <w:pStyle w:val="Footer"/>
      <w:jc w:val="right"/>
      <w:rPr>
        <w:rFonts w:ascii="Arial" w:hAnsi="Arial" w:cs="Arial"/>
      </w:rPr>
    </w:pPr>
    <w:r w:rsidRPr="002A6A4B">
      <w:rPr>
        <w:rFonts w:ascii="Arial" w:hAnsi="Arial" w:cs="Arial"/>
      </w:rPr>
      <w:t xml:space="preserve">Page </w:t>
    </w:r>
    <w:proofErr w:type="spellStart"/>
    <w:r>
      <w:rPr>
        <w:rFonts w:ascii="Arial" w:hAnsi="Arial" w:cs="Arial"/>
      </w:rPr>
      <w:t>H2</w:t>
    </w:r>
    <w:proofErr w:type="spellEnd"/>
    <w:r w:rsidRPr="002A6A4B">
      <w:rPr>
        <w:rFonts w:ascii="Arial" w:hAnsi="Arial" w:cs="Arial"/>
      </w:rPr>
      <w:t>-</w:t>
    </w:r>
    <w:r>
      <w:rPr>
        <w:rFonts w:ascii="Arial" w:hAnsi="Arial" w:cs="Arial"/>
      </w:rPr>
      <w:t>2</w:t>
    </w:r>
    <w:r w:rsidRPr="002A6A4B">
      <w:rPr>
        <w:rFonts w:ascii="Arial" w:hAnsi="Arial" w:cs="Arial"/>
      </w:rPr>
      <w:t xml:space="preserve"> of </w:t>
    </w:r>
    <w:r>
      <w:rPr>
        <w:rFonts w:ascii="Arial" w:hAnsi="Arial" w:cs="Arial"/>
      </w:rPr>
      <w:t>4</w:t>
    </w:r>
  </w:p>
  <w:sdt>
    <w:sdtPr>
      <w:id w:val="2106079308"/>
      <w:docPartObj>
        <w:docPartGallery w:val="Page Numbers (Bottom of Page)"/>
        <w:docPartUnique/>
      </w:docPartObj>
    </w:sdtPr>
    <w:sdtEndPr>
      <w:rPr>
        <w:noProof/>
      </w:rPr>
    </w:sdtEndPr>
    <w:sdtContent>
      <w:p w14:paraId="42BAC4A5" w14:textId="77777777" w:rsidR="00F32E4A" w:rsidRPr="00D82ECE" w:rsidRDefault="00F32E4A" w:rsidP="00D82ECE">
        <w:pPr>
          <w:tabs>
            <w:tab w:val="center" w:pos="4838"/>
            <w:tab w:val="right" w:pos="9626"/>
          </w:tabs>
          <w:ind w:right="-25"/>
          <w:jc w:val="right"/>
          <w:rPr>
            <w:szCs w:val="24"/>
          </w:rPr>
        </w:pPr>
        <w:r w:rsidRPr="007D629E">
          <w:rPr>
            <w:szCs w:val="24"/>
          </w:rPr>
          <w:t xml:space="preserve">BAMA </w:t>
        </w:r>
        <w:r>
          <w:rPr>
            <w:szCs w:val="24"/>
          </w:rPr>
          <w:t>Rules and Regulations</w:t>
        </w:r>
        <w:r w:rsidRPr="007D629E">
          <w:rPr>
            <w:szCs w:val="24"/>
          </w:rPr>
          <w:t xml:space="preserve"> dated </w:t>
        </w:r>
        <w:proofErr w:type="spellStart"/>
        <w:r w:rsidRPr="004F0DE3">
          <w:rPr>
            <w:szCs w:val="24"/>
          </w:rPr>
          <w:t>V</w:t>
        </w:r>
        <w:r>
          <w:rPr>
            <w:szCs w:val="24"/>
          </w:rPr>
          <w:t>4</w:t>
        </w:r>
        <w:proofErr w:type="spellEnd"/>
        <w:r w:rsidRPr="004F0DE3">
          <w:rPr>
            <w:szCs w:val="24"/>
          </w:rPr>
          <w:t xml:space="preserve"> </w:t>
        </w:r>
        <w:r>
          <w:rPr>
            <w:szCs w:val="24"/>
          </w:rPr>
          <w:t>Jan 25</w:t>
        </w:r>
      </w:p>
    </w:sdtContent>
  </w:sdt>
  <w:p w14:paraId="1216BB7F" w14:textId="77777777" w:rsidR="00F32E4A" w:rsidRPr="002A6A4B" w:rsidRDefault="00F32E4A" w:rsidP="002A6A4B">
    <w:pPr>
      <w:pStyle w:val="Footer"/>
      <w:jc w:val="right"/>
      <w:rPr>
        <w:rFonts w:ascii="Arial" w:eastAsia="Arial" w:hAnsi="Arial" w:cs="Arial"/>
        <w:noProof/>
        <w:color w:val="000000"/>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3AD6" w14:textId="77777777" w:rsidR="00F32E4A" w:rsidRPr="007F6B60" w:rsidRDefault="00F32E4A" w:rsidP="007F6B60">
    <w:pPr>
      <w:pStyle w:val="Footer"/>
      <w:jc w:val="right"/>
      <w:rPr>
        <w:rFonts w:ascii="Arial" w:hAnsi="Arial" w:cs="Arial"/>
      </w:rPr>
    </w:pPr>
    <w:r w:rsidRPr="007F6B60">
      <w:rPr>
        <w:rFonts w:ascii="Arial" w:hAnsi="Arial" w:cs="Arial"/>
      </w:rPr>
      <w:t xml:space="preserve">Page </w:t>
    </w:r>
    <w:proofErr w:type="spellStart"/>
    <w:r w:rsidRPr="007F6B60">
      <w:rPr>
        <w:rFonts w:ascii="Arial" w:hAnsi="Arial" w:cs="Arial"/>
      </w:rPr>
      <w:t>H2</w:t>
    </w:r>
    <w:proofErr w:type="spellEnd"/>
    <w:r w:rsidRPr="007F6B60">
      <w:rPr>
        <w:rFonts w:ascii="Arial" w:hAnsi="Arial" w:cs="Arial"/>
      </w:rPr>
      <w:t>-</w:t>
    </w:r>
    <w:r>
      <w:rPr>
        <w:rFonts w:ascii="Arial" w:hAnsi="Arial" w:cs="Arial"/>
      </w:rPr>
      <w:t>1</w:t>
    </w:r>
    <w:r w:rsidRPr="007F6B60">
      <w:rPr>
        <w:rFonts w:ascii="Arial" w:hAnsi="Arial" w:cs="Arial"/>
      </w:rPr>
      <w:t xml:space="preserve"> of </w:t>
    </w:r>
    <w:r>
      <w:rPr>
        <w:rFonts w:ascii="Arial" w:hAnsi="Arial" w:cs="Arial"/>
      </w:rPr>
      <w:t>4</w:t>
    </w:r>
  </w:p>
  <w:p w14:paraId="69A80140" w14:textId="77777777" w:rsidR="00F32E4A" w:rsidRPr="00D82ECE" w:rsidRDefault="00F32E4A" w:rsidP="00D82ECE">
    <w:pPr>
      <w:tabs>
        <w:tab w:val="center" w:pos="4838"/>
        <w:tab w:val="right" w:pos="9626"/>
      </w:tabs>
      <w:ind w:right="-25"/>
      <w:jc w:val="right"/>
      <w:rPr>
        <w:szCs w:val="24"/>
      </w:rPr>
    </w:pPr>
    <w:r w:rsidRPr="007D629E">
      <w:rPr>
        <w:szCs w:val="24"/>
      </w:rPr>
      <w:t xml:space="preserve">BAMA </w:t>
    </w:r>
    <w:r>
      <w:rPr>
        <w:szCs w:val="24"/>
      </w:rPr>
      <w:t>Rules and Regulations</w:t>
    </w:r>
    <w:r w:rsidRPr="007D629E">
      <w:rPr>
        <w:szCs w:val="24"/>
      </w:rPr>
      <w:t xml:space="preserve"> dated </w:t>
    </w:r>
    <w:proofErr w:type="spellStart"/>
    <w:r w:rsidRPr="004F0DE3">
      <w:rPr>
        <w:szCs w:val="24"/>
      </w:rPr>
      <w:t>V</w:t>
    </w:r>
    <w:r>
      <w:rPr>
        <w:szCs w:val="24"/>
      </w:rPr>
      <w:t>4</w:t>
    </w:r>
    <w:proofErr w:type="spellEnd"/>
    <w:r w:rsidRPr="004F0DE3">
      <w:rPr>
        <w:szCs w:val="24"/>
      </w:rPr>
      <w:t xml:space="preserve"> </w:t>
    </w:r>
    <w:r>
      <w:rPr>
        <w:szCs w:val="24"/>
      </w:rPr>
      <w:t>Jan 25</w:t>
    </w:r>
  </w:p>
  <w:p w14:paraId="6D44E876" w14:textId="77777777" w:rsidR="00F32E4A" w:rsidRPr="00D82ECE" w:rsidRDefault="00F32E4A" w:rsidP="00D82ECE">
    <w:pPr>
      <w:tabs>
        <w:tab w:val="center" w:pos="4838"/>
        <w:tab w:val="right" w:pos="9626"/>
      </w:tabs>
      <w:ind w:right="-25"/>
      <w:jc w:val="right"/>
      <w:rPr>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1A02"/>
    <w:multiLevelType w:val="hybridMultilevel"/>
    <w:tmpl w:val="BC0A7280"/>
    <w:lvl w:ilvl="0" w:tplc="0809000F">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 w15:restartNumberingAfterBreak="0">
    <w:nsid w:val="29BD7D19"/>
    <w:multiLevelType w:val="hybridMultilevel"/>
    <w:tmpl w:val="02F6D4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E067F4"/>
    <w:multiLevelType w:val="hybridMultilevel"/>
    <w:tmpl w:val="98C2B7F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502084064">
    <w:abstractNumId w:val="1"/>
  </w:num>
  <w:num w:numId="2" w16cid:durableId="631130278">
    <w:abstractNumId w:val="0"/>
  </w:num>
  <w:num w:numId="3" w16cid:durableId="115233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4A"/>
    <w:rsid w:val="007E3C3E"/>
    <w:rsid w:val="00F32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1B2F"/>
  <w15:chartTrackingRefBased/>
  <w15:docId w15:val="{3073791B-2FA9-4BC3-BF79-B11221CF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32E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2E4A"/>
  </w:style>
  <w:style w:type="table" w:styleId="TableGrid">
    <w:name w:val="Table Grid"/>
    <w:basedOn w:val="TableNormal"/>
    <w:uiPriority w:val="39"/>
    <w:rsid w:val="00F32E4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mysportcontrolboard.com/wp-content/uploads/2017/10/AGAI_005.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dgovuk.sharepoint.com/sites/DINs/_layouts/15/Doc.aspx?sourcedoc=%7B4E257007-E572-4BBA-AF4A-AE95197D2ABA%7D&amp;file=2024DIN06-024-The%20Defence%20Accident%20Investigation%20Branch.docx&amp;action=view&amp;mobileredirect=true&amp;DefaultItemOpen=1"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modgovuk.sharepoint.com/sites/DINs/_layouts/15/Doc.aspx?sourcedoc=%7B634FD149-E321-4B8D-92A3-293B326954B9%7D&amp;file=2024DIN06-027-Annual%20Defence%20Road%20Safety%20Award%202025.docx&amp;action=view&amp;mobileredirect=true&amp;DefaultItemOpen=1" TargetMode="External"/><Relationship Id="rId11" Type="http://schemas.openxmlformats.org/officeDocument/2006/relationships/footer" Target="footer2.xml"/><Relationship Id="rId5" Type="http://schemas.openxmlformats.org/officeDocument/2006/relationships/hyperlink" Target="https://modgovuk.sharepoint.com/sites/defnet/HOCS/Documents/JSP751_Part1_Vol1.pdf" TargetMode="Externa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ive.defencegateway.mod.uk/servlet/JiveServlet/downloadBody/1085820-102-16-1619601/MySafety%20User%20Manual.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Mark Maj (7REME-72HQ-QM)</dc:creator>
  <cp:keywords/>
  <dc:description/>
  <cp:lastModifiedBy>Saunders, Mark Maj (7REME-72HQ-QM)</cp:lastModifiedBy>
  <cp:revision>1</cp:revision>
  <dcterms:created xsi:type="dcterms:W3CDTF">2025-03-20T11:05:00Z</dcterms:created>
  <dcterms:modified xsi:type="dcterms:W3CDTF">2025-03-20T11:09:00Z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2025-03-20T11:09:22Z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b5c06750-6d56-45c2-b0eb-bf72463f093f</vt:lpwstr>
  </property>
  <property fmtid="{D5CDD505-2E9C-101B-9397-08002B2CF9AE}" pid="8" name="MSIP_Label_d8a60473-494b-4586-a1bb-b0e663054676_ContentBits">
    <vt:lpwstr>0</vt:lpwstr>
  </property>
</Properties>
</file>